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E53" w:rsidRPr="00D65DF7" w:rsidRDefault="00D65DF7" w:rsidP="00FB6E53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  <w:lang w:val="fr-CA"/>
        </w:rPr>
      </w:pPr>
      <w:bookmarkStart w:id="0" w:name="_GoBack"/>
      <w:bookmarkEnd w:id="0"/>
      <w:r w:rsidRPr="00D65DF7">
        <w:rPr>
          <w:rFonts w:ascii="Arial" w:hAnsi="Arial" w:cs="Arial"/>
          <w:b/>
          <w:sz w:val="32"/>
          <w:szCs w:val="28"/>
          <w:lang w:val="fr-CA"/>
        </w:rPr>
        <w:t>Tribunaux décisionnels Ontario</w:t>
      </w:r>
    </w:p>
    <w:p w:rsidR="00D65DF7" w:rsidRDefault="00D65DF7" w:rsidP="00FB6E5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fr-CA"/>
        </w:rPr>
      </w:pPr>
      <w:r>
        <w:rPr>
          <w:rFonts w:ascii="Arial" w:hAnsi="Arial" w:cs="Arial"/>
          <w:b/>
          <w:sz w:val="28"/>
          <w:szCs w:val="28"/>
          <w:lang w:val="fr-CA"/>
        </w:rPr>
        <w:t>Commission de la révision de l’évaluation foncière</w:t>
      </w:r>
    </w:p>
    <w:p w:rsidR="00D65DF7" w:rsidRPr="00C47ED4" w:rsidRDefault="00D65DF7" w:rsidP="00FB6E5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fr-CA"/>
        </w:rPr>
      </w:pPr>
    </w:p>
    <w:p w:rsidR="00AC3409" w:rsidRDefault="00567262" w:rsidP="00FB6E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  <w:lang w:val="fr-CA"/>
        </w:rPr>
        <w:t>Foire aux q</w:t>
      </w:r>
      <w:r w:rsidR="00D8085F" w:rsidRPr="00C47ED4">
        <w:rPr>
          <w:rFonts w:ascii="Arial" w:hAnsi="Arial" w:cs="Arial"/>
          <w:b/>
          <w:sz w:val="24"/>
          <w:szCs w:val="24"/>
          <w:lang w:val="fr-CA"/>
        </w:rPr>
        <w:t>uestions</w:t>
      </w:r>
      <w:r>
        <w:rPr>
          <w:rFonts w:ascii="Arial" w:hAnsi="Arial" w:cs="Arial"/>
          <w:b/>
          <w:sz w:val="24"/>
          <w:szCs w:val="24"/>
          <w:lang w:val="fr-CA"/>
        </w:rPr>
        <w:t xml:space="preserve"> au sujet des modifications proposées à la CR</w:t>
      </w:r>
      <w:r w:rsidR="009C03D1">
        <w:rPr>
          <w:rFonts w:ascii="Arial" w:hAnsi="Arial" w:cs="Arial"/>
          <w:b/>
          <w:sz w:val="24"/>
          <w:szCs w:val="24"/>
          <w:lang w:val="fr-CA"/>
        </w:rPr>
        <w:t>É</w:t>
      </w:r>
      <w:r>
        <w:rPr>
          <w:rFonts w:ascii="Arial" w:hAnsi="Arial" w:cs="Arial"/>
          <w:b/>
          <w:sz w:val="24"/>
          <w:szCs w:val="24"/>
          <w:lang w:val="fr-CA"/>
        </w:rPr>
        <w:t>F</w:t>
      </w:r>
      <w:r w:rsidR="008A4ECE" w:rsidRPr="00C47ED4">
        <w:rPr>
          <w:rFonts w:ascii="Arial" w:hAnsi="Arial" w:cs="Arial"/>
          <w:b/>
          <w:sz w:val="24"/>
          <w:szCs w:val="24"/>
          <w:lang w:val="fr-CA"/>
        </w:rPr>
        <w:t xml:space="preserve"> </w:t>
      </w:r>
    </w:p>
    <w:p w:rsidR="00D65DF7" w:rsidRPr="00C47ED4" w:rsidRDefault="00D65DF7" w:rsidP="00FB6E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  <w:lang w:val="fr-CA"/>
        </w:rPr>
        <w:t>Juillet 2019</w:t>
      </w:r>
    </w:p>
    <w:p w:rsidR="00FB6E53" w:rsidRPr="00C47ED4" w:rsidRDefault="00FB6E53" w:rsidP="00FB6E53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:rsidR="00817F0E" w:rsidRPr="00C47ED4" w:rsidRDefault="00817F0E" w:rsidP="00FB6E53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:rsidR="00C72D13" w:rsidRPr="00C47ED4" w:rsidRDefault="00314312" w:rsidP="00A44748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Si vous avez d’autres</w:t>
      </w:r>
      <w:r w:rsidR="00B93A7B" w:rsidRPr="00C47ED4">
        <w:rPr>
          <w:rFonts w:ascii="Arial" w:hAnsi="Arial" w:cs="Arial"/>
          <w:sz w:val="24"/>
          <w:szCs w:val="24"/>
          <w:lang w:val="fr-CA"/>
        </w:rPr>
        <w:t xml:space="preserve"> </w:t>
      </w:r>
      <w:r w:rsidR="00817F0E" w:rsidRPr="00C47ED4">
        <w:rPr>
          <w:rFonts w:ascii="Arial" w:hAnsi="Arial" w:cs="Arial"/>
          <w:sz w:val="24"/>
          <w:szCs w:val="24"/>
          <w:lang w:val="fr-CA"/>
        </w:rPr>
        <w:t>questions</w:t>
      </w:r>
      <w:r w:rsidR="005C658E" w:rsidRPr="00C47ED4">
        <w:rPr>
          <w:rFonts w:ascii="Arial" w:hAnsi="Arial" w:cs="Arial"/>
          <w:sz w:val="24"/>
          <w:szCs w:val="24"/>
          <w:lang w:val="fr-CA"/>
        </w:rPr>
        <w:t xml:space="preserve"> </w:t>
      </w:r>
      <w:r>
        <w:rPr>
          <w:rFonts w:ascii="Arial" w:hAnsi="Arial" w:cs="Arial"/>
          <w:sz w:val="24"/>
          <w:szCs w:val="24"/>
          <w:lang w:val="fr-CA"/>
        </w:rPr>
        <w:t xml:space="preserve">ou avez besoin d’éclaircissements sur l’une quelconque des questions </w:t>
      </w:r>
      <w:r w:rsidR="009C098E">
        <w:rPr>
          <w:rFonts w:ascii="Arial" w:hAnsi="Arial" w:cs="Arial"/>
          <w:sz w:val="24"/>
          <w:szCs w:val="24"/>
          <w:lang w:val="fr-CA"/>
        </w:rPr>
        <w:t>énoncées ci-dessous</w:t>
      </w:r>
      <w:r w:rsidR="00817F0E" w:rsidRPr="00C47ED4">
        <w:rPr>
          <w:rFonts w:ascii="Arial" w:hAnsi="Arial" w:cs="Arial"/>
          <w:sz w:val="24"/>
          <w:szCs w:val="24"/>
          <w:lang w:val="fr-CA"/>
        </w:rPr>
        <w:t xml:space="preserve">, </w:t>
      </w:r>
      <w:r>
        <w:rPr>
          <w:rFonts w:ascii="Arial" w:hAnsi="Arial" w:cs="Arial"/>
          <w:sz w:val="24"/>
          <w:szCs w:val="24"/>
          <w:lang w:val="fr-CA"/>
        </w:rPr>
        <w:t xml:space="preserve">veuillez communiquer avec le </w:t>
      </w:r>
      <w:hyperlink r:id="rId8" w:history="1">
        <w:r>
          <w:rPr>
            <w:rStyle w:val="Hyperlink"/>
            <w:rFonts w:ascii="Arial" w:hAnsi="Arial" w:cs="Arial"/>
            <w:sz w:val="24"/>
            <w:szCs w:val="24"/>
            <w:lang w:val="fr-CA"/>
          </w:rPr>
          <w:t>registrateur de la CR</w:t>
        </w:r>
        <w:r w:rsidR="009C03D1">
          <w:rPr>
            <w:rStyle w:val="Hyperlink"/>
            <w:rFonts w:ascii="Arial" w:hAnsi="Arial" w:cs="Arial"/>
            <w:sz w:val="24"/>
            <w:szCs w:val="24"/>
            <w:lang w:val="fr-CA"/>
          </w:rPr>
          <w:t>É</w:t>
        </w:r>
        <w:r>
          <w:rPr>
            <w:rStyle w:val="Hyperlink"/>
            <w:rFonts w:ascii="Arial" w:hAnsi="Arial" w:cs="Arial"/>
            <w:sz w:val="24"/>
            <w:szCs w:val="24"/>
            <w:lang w:val="fr-CA"/>
          </w:rPr>
          <w:t>F</w:t>
        </w:r>
      </w:hyperlink>
      <w:r w:rsidR="008A4ECE" w:rsidRPr="00C47ED4">
        <w:rPr>
          <w:lang w:val="fr-CA"/>
        </w:rPr>
        <w:t>.</w:t>
      </w:r>
    </w:p>
    <w:p w:rsidR="00A44748" w:rsidRPr="00C47ED4" w:rsidRDefault="00A44748" w:rsidP="00A44748">
      <w:pPr>
        <w:spacing w:after="0" w:line="240" w:lineRule="auto"/>
        <w:rPr>
          <w:rFonts w:ascii="Arial" w:hAnsi="Arial" w:cs="Arial"/>
          <w:sz w:val="28"/>
          <w:szCs w:val="24"/>
          <w:lang w:val="fr-CA"/>
        </w:rPr>
      </w:pPr>
    </w:p>
    <w:p w:rsidR="0081036F" w:rsidRPr="00C47ED4" w:rsidRDefault="00A63AFB" w:rsidP="0081036F">
      <w:pPr>
        <w:ind w:left="720"/>
        <w:rPr>
          <w:rFonts w:ascii="Arial" w:hAnsi="Arial" w:cs="Arial"/>
          <w:sz w:val="24"/>
          <w:lang w:val="fr-CA"/>
        </w:rPr>
      </w:pPr>
      <w:r>
        <w:rPr>
          <w:rFonts w:ascii="Arial" w:hAnsi="Arial" w:cs="Arial"/>
          <w:sz w:val="24"/>
          <w:lang w:val="fr-CA"/>
        </w:rPr>
        <w:t>Quelles modifications sont proposées</w:t>
      </w:r>
      <w:r w:rsidR="0081036F" w:rsidRPr="00C47ED4">
        <w:rPr>
          <w:rFonts w:ascii="Arial" w:hAnsi="Arial" w:cs="Arial"/>
          <w:sz w:val="24"/>
          <w:lang w:val="fr-CA"/>
        </w:rPr>
        <w:t>?</w:t>
      </w:r>
    </w:p>
    <w:p w:rsidR="00C72D13" w:rsidRPr="00C47ED4" w:rsidRDefault="00A63AFB" w:rsidP="0081036F">
      <w:pPr>
        <w:ind w:left="1440"/>
        <w:rPr>
          <w:rFonts w:ascii="Arial" w:hAnsi="Arial" w:cs="Arial"/>
          <w:sz w:val="24"/>
          <w:lang w:val="fr-CA"/>
        </w:rPr>
      </w:pPr>
      <w:r>
        <w:rPr>
          <w:rFonts w:ascii="Arial" w:hAnsi="Arial" w:cs="Arial"/>
          <w:sz w:val="24"/>
          <w:lang w:val="fr-CA"/>
        </w:rPr>
        <w:t xml:space="preserve">Trois modifications </w:t>
      </w:r>
      <w:r w:rsidR="003B6D48">
        <w:rPr>
          <w:rFonts w:ascii="Arial" w:hAnsi="Arial" w:cs="Arial"/>
          <w:sz w:val="24"/>
          <w:lang w:val="fr-CA"/>
        </w:rPr>
        <w:t xml:space="preserve">principales </w:t>
      </w:r>
      <w:r>
        <w:rPr>
          <w:rFonts w:ascii="Arial" w:hAnsi="Arial" w:cs="Arial"/>
          <w:sz w:val="24"/>
          <w:lang w:val="fr-CA"/>
        </w:rPr>
        <w:t>sont proposées :</w:t>
      </w:r>
    </w:p>
    <w:p w:rsidR="00C72D13" w:rsidRPr="00C47ED4" w:rsidRDefault="001A032D" w:rsidP="0081036F">
      <w:pPr>
        <w:pStyle w:val="ListParagraph"/>
        <w:numPr>
          <w:ilvl w:val="0"/>
          <w:numId w:val="9"/>
        </w:numPr>
        <w:ind w:left="1797" w:hanging="357"/>
        <w:rPr>
          <w:rFonts w:ascii="Arial" w:hAnsi="Arial" w:cs="Arial"/>
          <w:sz w:val="24"/>
          <w:lang w:val="fr-CA"/>
        </w:rPr>
      </w:pPr>
      <w:r>
        <w:rPr>
          <w:rFonts w:ascii="Arial" w:hAnsi="Arial" w:cs="Arial"/>
          <w:sz w:val="24"/>
          <w:lang w:val="fr-CA"/>
        </w:rPr>
        <w:t xml:space="preserve">raccourcir le calendrier des procédures – instances générales, dont la durée est actuellement de 66 ou 104 semaines, </w:t>
      </w:r>
      <w:r w:rsidR="003E4336">
        <w:rPr>
          <w:rFonts w:ascii="Arial" w:hAnsi="Arial" w:cs="Arial"/>
          <w:sz w:val="24"/>
          <w:lang w:val="fr-CA"/>
        </w:rPr>
        <w:t xml:space="preserve">pour ramener la durée </w:t>
      </w:r>
      <w:r>
        <w:rPr>
          <w:rFonts w:ascii="Arial" w:hAnsi="Arial" w:cs="Arial"/>
          <w:sz w:val="24"/>
          <w:lang w:val="fr-CA"/>
        </w:rPr>
        <w:t xml:space="preserve">à 40 semaines; </w:t>
      </w:r>
    </w:p>
    <w:p w:rsidR="00C72D13" w:rsidRPr="00C47ED4" w:rsidRDefault="00445876" w:rsidP="0081036F">
      <w:pPr>
        <w:pStyle w:val="ListParagraph"/>
        <w:numPr>
          <w:ilvl w:val="0"/>
          <w:numId w:val="9"/>
        </w:numPr>
        <w:ind w:left="1797" w:hanging="357"/>
        <w:rPr>
          <w:rFonts w:ascii="Arial" w:hAnsi="Arial" w:cs="Arial"/>
          <w:sz w:val="24"/>
          <w:lang w:val="fr-CA"/>
        </w:rPr>
      </w:pPr>
      <w:r>
        <w:rPr>
          <w:rFonts w:ascii="Arial" w:hAnsi="Arial" w:cs="Arial"/>
          <w:sz w:val="24"/>
          <w:lang w:val="fr-CA"/>
        </w:rPr>
        <w:t>remplacer le terme « conférence en vue d’un règlement amiable » par « conférence relative à la cause » pour s’aligner sur les autres tribunaux;</w:t>
      </w:r>
      <w:r w:rsidR="00C72D13" w:rsidRPr="00C47ED4">
        <w:rPr>
          <w:rFonts w:ascii="Arial" w:hAnsi="Arial" w:cs="Arial"/>
          <w:sz w:val="24"/>
          <w:lang w:val="fr-CA"/>
        </w:rPr>
        <w:t xml:space="preserve">  </w:t>
      </w:r>
    </w:p>
    <w:p w:rsidR="00C72D13" w:rsidRPr="00C47ED4" w:rsidRDefault="004147A7" w:rsidP="0081036F">
      <w:pPr>
        <w:pStyle w:val="ListParagraph"/>
        <w:numPr>
          <w:ilvl w:val="0"/>
          <w:numId w:val="9"/>
        </w:numPr>
        <w:ind w:left="1797" w:hanging="357"/>
        <w:rPr>
          <w:rFonts w:ascii="Arial" w:hAnsi="Arial" w:cs="Arial"/>
          <w:sz w:val="24"/>
          <w:lang w:val="fr-CA"/>
        </w:rPr>
      </w:pPr>
      <w:r>
        <w:rPr>
          <w:rFonts w:ascii="Arial" w:hAnsi="Arial" w:cs="Arial"/>
          <w:sz w:val="24"/>
          <w:lang w:val="fr-CA"/>
        </w:rPr>
        <w:t xml:space="preserve">supprimer des Règles toutes les </w:t>
      </w:r>
      <w:r w:rsidR="003E4336">
        <w:rPr>
          <w:rFonts w:ascii="Arial" w:hAnsi="Arial" w:cs="Arial"/>
          <w:sz w:val="24"/>
          <w:lang w:val="fr-CA"/>
        </w:rPr>
        <w:t>références à la médiation, étant donné</w:t>
      </w:r>
      <w:r>
        <w:rPr>
          <w:rFonts w:ascii="Arial" w:hAnsi="Arial" w:cs="Arial"/>
          <w:sz w:val="24"/>
          <w:lang w:val="fr-CA"/>
        </w:rPr>
        <w:t xml:space="preserve"> que les conférences relatives à la cause constituent la seule occasion d’obtenir des services de médiation devant la Commission</w:t>
      </w:r>
      <w:r w:rsidR="00C72D13" w:rsidRPr="00C47ED4">
        <w:rPr>
          <w:rFonts w:ascii="Arial" w:hAnsi="Arial" w:cs="Arial"/>
          <w:sz w:val="24"/>
          <w:lang w:val="fr-CA"/>
        </w:rPr>
        <w:t>.</w:t>
      </w:r>
    </w:p>
    <w:p w:rsidR="00D8085F" w:rsidRPr="00C47ED4" w:rsidRDefault="00585911" w:rsidP="00CD6EB0">
      <w:pPr>
        <w:ind w:left="72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Pourquoi </w:t>
      </w:r>
      <w:r w:rsidR="008A4ECE" w:rsidRPr="00C47ED4">
        <w:rPr>
          <w:rFonts w:ascii="Arial" w:hAnsi="Arial" w:cs="Arial"/>
          <w:sz w:val="24"/>
          <w:szCs w:val="24"/>
          <w:lang w:val="fr-CA"/>
        </w:rPr>
        <w:t>Tribuna</w:t>
      </w:r>
      <w:r>
        <w:rPr>
          <w:rFonts w:ascii="Arial" w:hAnsi="Arial" w:cs="Arial"/>
          <w:sz w:val="24"/>
          <w:szCs w:val="24"/>
          <w:lang w:val="fr-CA"/>
        </w:rPr>
        <w:t>ux décisionnels</w:t>
      </w:r>
      <w:r w:rsidR="008A4ECE" w:rsidRPr="00C47ED4">
        <w:rPr>
          <w:rFonts w:ascii="Arial" w:hAnsi="Arial" w:cs="Arial"/>
          <w:sz w:val="24"/>
          <w:szCs w:val="24"/>
          <w:lang w:val="fr-CA"/>
        </w:rPr>
        <w:t xml:space="preserve"> </w:t>
      </w:r>
      <w:r w:rsidR="00A44748" w:rsidRPr="00C47ED4">
        <w:rPr>
          <w:rFonts w:ascii="Arial" w:hAnsi="Arial" w:cs="Arial"/>
          <w:sz w:val="24"/>
          <w:szCs w:val="24"/>
          <w:lang w:val="fr-CA"/>
        </w:rPr>
        <w:t>Ontario</w:t>
      </w:r>
      <w:r>
        <w:rPr>
          <w:rFonts w:ascii="Arial" w:hAnsi="Arial" w:cs="Arial"/>
          <w:sz w:val="24"/>
          <w:szCs w:val="24"/>
          <w:lang w:val="fr-CA"/>
        </w:rPr>
        <w:t xml:space="preserve"> apporte-t-il ces modifications à la CRÉF</w:t>
      </w:r>
      <w:r w:rsidR="00A44748" w:rsidRPr="00C47ED4">
        <w:rPr>
          <w:rFonts w:ascii="Arial" w:hAnsi="Arial" w:cs="Arial"/>
          <w:sz w:val="24"/>
          <w:szCs w:val="24"/>
          <w:lang w:val="fr-CA"/>
        </w:rPr>
        <w:t xml:space="preserve"> </w:t>
      </w:r>
      <w:r>
        <w:rPr>
          <w:rFonts w:ascii="Arial" w:hAnsi="Arial" w:cs="Arial"/>
          <w:sz w:val="24"/>
          <w:szCs w:val="24"/>
          <w:lang w:val="fr-CA"/>
        </w:rPr>
        <w:t>en milieu de cycle</w:t>
      </w:r>
      <w:r w:rsidR="00D8085F" w:rsidRPr="00C47ED4">
        <w:rPr>
          <w:rFonts w:ascii="Arial" w:hAnsi="Arial" w:cs="Arial"/>
          <w:sz w:val="24"/>
          <w:szCs w:val="24"/>
          <w:lang w:val="fr-CA"/>
        </w:rPr>
        <w:t>?</w:t>
      </w:r>
    </w:p>
    <w:p w:rsidR="00FB6E53" w:rsidRPr="00C47ED4" w:rsidRDefault="0037538D" w:rsidP="002931E4">
      <w:pPr>
        <w:pStyle w:val="ListParagraph"/>
        <w:ind w:left="1440"/>
        <w:rPr>
          <w:rFonts w:ascii="Arial" w:hAnsi="Arial" w:cs="Arial"/>
          <w:sz w:val="24"/>
          <w:szCs w:val="24"/>
          <w:lang w:val="fr-CA"/>
        </w:rPr>
      </w:pPr>
      <w:r w:rsidRPr="00C47ED4">
        <w:rPr>
          <w:rFonts w:ascii="Arial" w:hAnsi="Arial" w:cs="Arial"/>
          <w:sz w:val="24"/>
          <w:szCs w:val="24"/>
          <w:lang w:val="fr-CA"/>
        </w:rPr>
        <w:t>Tribuna</w:t>
      </w:r>
      <w:r>
        <w:rPr>
          <w:rFonts w:ascii="Arial" w:hAnsi="Arial" w:cs="Arial"/>
          <w:sz w:val="24"/>
          <w:szCs w:val="24"/>
          <w:lang w:val="fr-CA"/>
        </w:rPr>
        <w:t>ux décisionnels</w:t>
      </w:r>
      <w:r w:rsidRPr="00C47ED4">
        <w:rPr>
          <w:rFonts w:ascii="Arial" w:hAnsi="Arial" w:cs="Arial"/>
          <w:sz w:val="24"/>
          <w:szCs w:val="24"/>
          <w:lang w:val="fr-CA"/>
        </w:rPr>
        <w:t xml:space="preserve"> Ontario</w:t>
      </w:r>
      <w:r>
        <w:rPr>
          <w:rFonts w:ascii="Arial" w:hAnsi="Arial" w:cs="Arial"/>
          <w:sz w:val="24"/>
          <w:szCs w:val="24"/>
          <w:lang w:val="fr-CA"/>
        </w:rPr>
        <w:t xml:space="preserve"> a le mandat de s’assurer que les appels sont réglés en temps opportun et de façon économique</w:t>
      </w:r>
      <w:r w:rsidR="00D8085F" w:rsidRPr="00C47ED4">
        <w:rPr>
          <w:rFonts w:ascii="Arial" w:hAnsi="Arial" w:cs="Arial"/>
          <w:sz w:val="24"/>
          <w:szCs w:val="24"/>
          <w:lang w:val="fr-CA"/>
        </w:rPr>
        <w:t xml:space="preserve">. </w:t>
      </w:r>
      <w:r>
        <w:rPr>
          <w:rFonts w:ascii="Arial" w:hAnsi="Arial" w:cs="Arial"/>
          <w:sz w:val="24"/>
          <w:szCs w:val="24"/>
          <w:lang w:val="fr-CA"/>
        </w:rPr>
        <w:t xml:space="preserve">Les modifications que propose </w:t>
      </w:r>
      <w:r w:rsidRPr="00C47ED4">
        <w:rPr>
          <w:rFonts w:ascii="Arial" w:hAnsi="Arial" w:cs="Arial"/>
          <w:sz w:val="24"/>
          <w:szCs w:val="24"/>
          <w:lang w:val="fr-CA"/>
        </w:rPr>
        <w:t>Tribuna</w:t>
      </w:r>
      <w:r>
        <w:rPr>
          <w:rFonts w:ascii="Arial" w:hAnsi="Arial" w:cs="Arial"/>
          <w:sz w:val="24"/>
          <w:szCs w:val="24"/>
          <w:lang w:val="fr-CA"/>
        </w:rPr>
        <w:t>ux décisionnels</w:t>
      </w:r>
      <w:r w:rsidRPr="00C47ED4">
        <w:rPr>
          <w:rFonts w:ascii="Arial" w:hAnsi="Arial" w:cs="Arial"/>
          <w:sz w:val="24"/>
          <w:szCs w:val="24"/>
          <w:lang w:val="fr-CA"/>
        </w:rPr>
        <w:t xml:space="preserve"> Ontario</w:t>
      </w:r>
      <w:r>
        <w:rPr>
          <w:rFonts w:ascii="Arial" w:hAnsi="Arial" w:cs="Arial"/>
          <w:sz w:val="24"/>
          <w:szCs w:val="24"/>
          <w:lang w:val="fr-CA"/>
        </w:rPr>
        <w:t xml:space="preserve"> permettront de faire avancer les appels plus rapidement dans le processus et de simplifier les types de comparutions devant la Commission</w:t>
      </w:r>
      <w:r w:rsidR="00234B2F" w:rsidRPr="00C47ED4">
        <w:rPr>
          <w:rFonts w:ascii="Arial" w:hAnsi="Arial" w:cs="Arial"/>
          <w:sz w:val="24"/>
          <w:szCs w:val="24"/>
          <w:lang w:val="fr-CA"/>
        </w:rPr>
        <w:t>,</w:t>
      </w:r>
      <w:r>
        <w:rPr>
          <w:rFonts w:ascii="Arial" w:hAnsi="Arial" w:cs="Arial"/>
          <w:sz w:val="24"/>
          <w:szCs w:val="24"/>
          <w:lang w:val="fr-CA"/>
        </w:rPr>
        <w:t xml:space="preserve"> tout en maintenant un modèle de prestation de services durable</w:t>
      </w:r>
      <w:r w:rsidR="007741D9" w:rsidRPr="00C47ED4">
        <w:rPr>
          <w:rFonts w:ascii="Arial" w:hAnsi="Arial" w:cs="Arial"/>
          <w:sz w:val="24"/>
          <w:szCs w:val="24"/>
          <w:lang w:val="fr-CA"/>
        </w:rPr>
        <w:t xml:space="preserve">. </w:t>
      </w:r>
      <w:r w:rsidR="00CD6EB0" w:rsidRPr="00C47ED4">
        <w:rPr>
          <w:rFonts w:ascii="Arial" w:hAnsi="Arial" w:cs="Arial"/>
          <w:sz w:val="24"/>
          <w:szCs w:val="24"/>
          <w:lang w:val="fr-CA"/>
        </w:rPr>
        <w:tab/>
      </w:r>
    </w:p>
    <w:p w:rsidR="00222618" w:rsidRPr="00C47ED4" w:rsidRDefault="004C60F0" w:rsidP="007741D9">
      <w:pPr>
        <w:ind w:left="720"/>
        <w:rPr>
          <w:rFonts w:ascii="Arial" w:hAnsi="Arial" w:cs="Arial"/>
          <w:sz w:val="24"/>
          <w:lang w:val="fr-CA"/>
        </w:rPr>
      </w:pPr>
      <w:r>
        <w:rPr>
          <w:rFonts w:ascii="Arial" w:hAnsi="Arial" w:cs="Arial"/>
          <w:sz w:val="24"/>
          <w:lang w:val="fr-CA"/>
        </w:rPr>
        <w:t>Quelles consultations y aura-t-il à l’égard de ces modifications</w:t>
      </w:r>
      <w:r w:rsidR="00D8085F" w:rsidRPr="00C47ED4">
        <w:rPr>
          <w:rFonts w:ascii="Arial" w:hAnsi="Arial" w:cs="Arial"/>
          <w:sz w:val="24"/>
          <w:lang w:val="fr-CA"/>
        </w:rPr>
        <w:t>?</w:t>
      </w:r>
    </w:p>
    <w:p w:rsidR="00BE69A5" w:rsidRPr="00C47ED4" w:rsidRDefault="004C60F0" w:rsidP="007741D9">
      <w:pPr>
        <w:pStyle w:val="ListParagraph"/>
        <w:ind w:left="144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La rétroaction concernant le projet de modification des Règles sera acceptée pendant deux semaines après </w:t>
      </w:r>
      <w:r w:rsidR="000269D2">
        <w:rPr>
          <w:rFonts w:ascii="Arial" w:hAnsi="Arial" w:cs="Arial"/>
          <w:sz w:val="24"/>
          <w:szCs w:val="24"/>
          <w:lang w:val="fr-CA"/>
        </w:rPr>
        <w:t xml:space="preserve">son </w:t>
      </w:r>
      <w:r>
        <w:rPr>
          <w:rFonts w:ascii="Arial" w:hAnsi="Arial" w:cs="Arial"/>
          <w:sz w:val="24"/>
          <w:szCs w:val="24"/>
          <w:lang w:val="fr-CA"/>
        </w:rPr>
        <w:t>affichage sur le site Web</w:t>
      </w:r>
      <w:r w:rsidR="00D05EF3" w:rsidRPr="00C47ED4">
        <w:rPr>
          <w:rFonts w:ascii="Arial" w:hAnsi="Arial" w:cs="Arial"/>
          <w:sz w:val="24"/>
          <w:szCs w:val="24"/>
          <w:lang w:val="fr-CA"/>
        </w:rPr>
        <w:t>.</w:t>
      </w:r>
      <w:r w:rsidR="009810AC">
        <w:rPr>
          <w:rFonts w:ascii="Arial" w:hAnsi="Arial" w:cs="Arial"/>
          <w:sz w:val="24"/>
          <w:szCs w:val="24"/>
          <w:lang w:val="fr-CA"/>
        </w:rPr>
        <w:t xml:space="preserve"> </w:t>
      </w:r>
      <w:r w:rsidR="009810AC" w:rsidRPr="009810AC">
        <w:rPr>
          <w:rFonts w:ascii="Arial" w:hAnsi="Arial" w:cs="Arial"/>
          <w:sz w:val="24"/>
          <w:szCs w:val="24"/>
          <w:lang w:val="fr-CA"/>
        </w:rPr>
        <w:t xml:space="preserve">Tribunaux décisionnels Ontario </w:t>
      </w:r>
      <w:r w:rsidR="009810AC">
        <w:rPr>
          <w:rFonts w:ascii="Arial" w:hAnsi="Arial" w:cs="Arial"/>
          <w:sz w:val="24"/>
          <w:szCs w:val="24"/>
          <w:lang w:val="fr-CA"/>
        </w:rPr>
        <w:t>examinera les commentaires et</w:t>
      </w:r>
      <w:r w:rsidR="006365D8">
        <w:rPr>
          <w:rFonts w:ascii="Arial" w:hAnsi="Arial" w:cs="Arial"/>
          <w:sz w:val="24"/>
          <w:szCs w:val="24"/>
          <w:lang w:val="fr-CA"/>
        </w:rPr>
        <w:t xml:space="preserve"> les</w:t>
      </w:r>
      <w:r w:rsidR="009810AC">
        <w:rPr>
          <w:rFonts w:ascii="Arial" w:hAnsi="Arial" w:cs="Arial"/>
          <w:sz w:val="24"/>
          <w:szCs w:val="24"/>
          <w:lang w:val="fr-CA"/>
        </w:rPr>
        <w:t xml:space="preserve"> suggestions des intervenants et du public </w:t>
      </w:r>
      <w:r w:rsidR="009810AC" w:rsidRPr="009810AC">
        <w:rPr>
          <w:rFonts w:ascii="Arial" w:hAnsi="Arial" w:cs="Arial"/>
          <w:sz w:val="24"/>
          <w:szCs w:val="24"/>
          <w:lang w:val="fr-CA"/>
        </w:rPr>
        <w:t>avant la mise en œuvre de toute modification des Règles</w:t>
      </w:r>
      <w:r w:rsidR="00217DA2" w:rsidRPr="00C47ED4">
        <w:rPr>
          <w:rFonts w:ascii="Arial" w:hAnsi="Arial" w:cs="Arial"/>
          <w:sz w:val="24"/>
          <w:szCs w:val="24"/>
          <w:lang w:val="fr-CA"/>
        </w:rPr>
        <w:t>.</w:t>
      </w:r>
    </w:p>
    <w:p w:rsidR="00D8085F" w:rsidRPr="00C47ED4" w:rsidRDefault="00A9697B" w:rsidP="00CD6EB0">
      <w:pPr>
        <w:ind w:left="72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Quels appels seront assujettis à de nouveaux calendriers des procédures</w:t>
      </w:r>
      <w:r w:rsidR="00D8085F" w:rsidRPr="00C47ED4">
        <w:rPr>
          <w:rFonts w:ascii="Arial" w:hAnsi="Arial" w:cs="Arial"/>
          <w:sz w:val="24"/>
          <w:szCs w:val="24"/>
          <w:lang w:val="fr-CA"/>
        </w:rPr>
        <w:t>?</w:t>
      </w:r>
    </w:p>
    <w:p w:rsidR="00D8085F" w:rsidRPr="00C47ED4" w:rsidRDefault="00E42196" w:rsidP="00CD6EB0">
      <w:pPr>
        <w:pStyle w:val="ListParagraph"/>
        <w:ind w:left="144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lastRenderedPageBreak/>
        <w:t xml:space="preserve">Tant pour les instances générales que pour les instances sommaires, les appels dont la date d’introduction est le 15 </w:t>
      </w:r>
      <w:r w:rsidR="00D65DF7">
        <w:rPr>
          <w:rFonts w:ascii="Arial" w:hAnsi="Arial" w:cs="Arial"/>
          <w:sz w:val="24"/>
          <w:szCs w:val="24"/>
          <w:lang w:val="fr-CA"/>
        </w:rPr>
        <w:t>octo</w:t>
      </w:r>
      <w:r>
        <w:rPr>
          <w:rFonts w:ascii="Arial" w:hAnsi="Arial" w:cs="Arial"/>
          <w:sz w:val="24"/>
          <w:szCs w:val="24"/>
          <w:lang w:val="fr-CA"/>
        </w:rPr>
        <w:t xml:space="preserve">bre </w:t>
      </w:r>
      <w:r w:rsidR="00D8085F" w:rsidRPr="00C47ED4">
        <w:rPr>
          <w:rFonts w:ascii="Arial" w:hAnsi="Arial" w:cs="Arial"/>
          <w:sz w:val="24"/>
          <w:szCs w:val="24"/>
          <w:lang w:val="fr-CA"/>
        </w:rPr>
        <w:t>2019</w:t>
      </w:r>
      <w:r>
        <w:rPr>
          <w:rFonts w:ascii="Arial" w:hAnsi="Arial" w:cs="Arial"/>
          <w:sz w:val="24"/>
          <w:szCs w:val="24"/>
          <w:lang w:val="fr-CA"/>
        </w:rPr>
        <w:t xml:space="preserve"> ou </w:t>
      </w:r>
      <w:r w:rsidR="0066600D">
        <w:rPr>
          <w:rFonts w:ascii="Arial" w:hAnsi="Arial" w:cs="Arial"/>
          <w:sz w:val="24"/>
          <w:szCs w:val="24"/>
          <w:lang w:val="fr-CA"/>
        </w:rPr>
        <w:t xml:space="preserve">plus tard seront assujettis au nouveau calendrier des procédures </w:t>
      </w:r>
      <w:r w:rsidR="00FA376F">
        <w:rPr>
          <w:rFonts w:ascii="Arial" w:hAnsi="Arial" w:cs="Arial"/>
          <w:sz w:val="24"/>
          <w:szCs w:val="24"/>
          <w:lang w:val="fr-CA"/>
        </w:rPr>
        <w:t xml:space="preserve">qui est </w:t>
      </w:r>
      <w:r w:rsidR="0066600D">
        <w:rPr>
          <w:rFonts w:ascii="Arial" w:hAnsi="Arial" w:cs="Arial"/>
          <w:sz w:val="24"/>
          <w:szCs w:val="24"/>
          <w:lang w:val="fr-CA"/>
        </w:rPr>
        <w:t>joint au projet de Règles</w:t>
      </w:r>
      <w:r w:rsidR="00D8085F" w:rsidRPr="00C47ED4">
        <w:rPr>
          <w:rFonts w:ascii="Arial" w:hAnsi="Arial" w:cs="Arial"/>
          <w:sz w:val="24"/>
          <w:szCs w:val="24"/>
          <w:lang w:val="fr-CA"/>
        </w:rPr>
        <w:t>.</w:t>
      </w:r>
      <w:r w:rsidR="00F47AAD">
        <w:rPr>
          <w:rFonts w:ascii="Arial" w:hAnsi="Arial" w:cs="Arial"/>
          <w:sz w:val="24"/>
          <w:szCs w:val="24"/>
          <w:lang w:val="fr-CA"/>
        </w:rPr>
        <w:t xml:space="preserve"> Les biens visés uniquement par des appels en instance antérieurs à l’année d’imposition</w:t>
      </w:r>
      <w:r w:rsidR="00D8085F" w:rsidRPr="00C47ED4">
        <w:rPr>
          <w:rFonts w:ascii="Arial" w:hAnsi="Arial" w:cs="Arial"/>
          <w:sz w:val="24"/>
          <w:szCs w:val="24"/>
          <w:lang w:val="fr-CA"/>
        </w:rPr>
        <w:t xml:space="preserve"> 2017 </w:t>
      </w:r>
      <w:r w:rsidR="00F47AAD">
        <w:rPr>
          <w:rFonts w:ascii="Arial" w:hAnsi="Arial" w:cs="Arial"/>
          <w:sz w:val="24"/>
          <w:szCs w:val="24"/>
          <w:lang w:val="fr-CA"/>
        </w:rPr>
        <w:t xml:space="preserve">recevront une nouvelle date d’introduction </w:t>
      </w:r>
      <w:r w:rsidR="004863CD">
        <w:rPr>
          <w:rFonts w:ascii="Arial" w:hAnsi="Arial" w:cs="Arial"/>
          <w:sz w:val="24"/>
          <w:szCs w:val="24"/>
          <w:lang w:val="fr-CA"/>
        </w:rPr>
        <w:t>dans les prochains mois</w:t>
      </w:r>
      <w:r w:rsidR="00D8085F" w:rsidRPr="00C47ED4">
        <w:rPr>
          <w:rFonts w:ascii="Arial" w:hAnsi="Arial" w:cs="Arial"/>
          <w:sz w:val="24"/>
          <w:szCs w:val="24"/>
          <w:lang w:val="fr-CA"/>
        </w:rPr>
        <w:t xml:space="preserve"> </w:t>
      </w:r>
      <w:r w:rsidR="00F47AAD">
        <w:rPr>
          <w:rFonts w:ascii="Arial" w:hAnsi="Arial" w:cs="Arial"/>
          <w:sz w:val="24"/>
          <w:szCs w:val="24"/>
          <w:lang w:val="fr-CA"/>
        </w:rPr>
        <w:t>et un calendrier des procédures accéléré</w:t>
      </w:r>
      <w:r w:rsidR="00D8085F" w:rsidRPr="00C47ED4">
        <w:rPr>
          <w:rFonts w:ascii="Arial" w:hAnsi="Arial" w:cs="Arial"/>
          <w:sz w:val="24"/>
          <w:szCs w:val="24"/>
          <w:lang w:val="fr-CA"/>
        </w:rPr>
        <w:t>.</w:t>
      </w:r>
      <w:r w:rsidR="0009330D">
        <w:rPr>
          <w:rFonts w:ascii="Arial" w:hAnsi="Arial" w:cs="Arial"/>
          <w:sz w:val="24"/>
          <w:szCs w:val="24"/>
          <w:lang w:val="fr-CA"/>
        </w:rPr>
        <w:t xml:space="preserve"> La CRÉF a examiné ses processus et cerné les possibilités de simplifier les appels en se fondant sur l’expérience g</w:t>
      </w:r>
      <w:r w:rsidR="00C60F8D">
        <w:rPr>
          <w:rFonts w:ascii="Arial" w:hAnsi="Arial" w:cs="Arial"/>
          <w:sz w:val="24"/>
          <w:szCs w:val="24"/>
          <w:lang w:val="fr-CA"/>
        </w:rPr>
        <w:t>lobal</w:t>
      </w:r>
      <w:r w:rsidR="0009330D">
        <w:rPr>
          <w:rFonts w:ascii="Arial" w:hAnsi="Arial" w:cs="Arial"/>
          <w:sz w:val="24"/>
          <w:szCs w:val="24"/>
          <w:lang w:val="fr-CA"/>
        </w:rPr>
        <w:t>e à ce jour</w:t>
      </w:r>
      <w:r w:rsidR="00DF6F46" w:rsidRPr="00C47ED4">
        <w:rPr>
          <w:rFonts w:ascii="Arial" w:hAnsi="Arial" w:cs="Arial"/>
          <w:sz w:val="24"/>
          <w:szCs w:val="24"/>
          <w:lang w:val="fr-CA"/>
        </w:rPr>
        <w:t>.</w:t>
      </w:r>
    </w:p>
    <w:p w:rsidR="003F63C2" w:rsidRPr="00C47ED4" w:rsidRDefault="00C47ED4" w:rsidP="00CD6EB0">
      <w:pPr>
        <w:ind w:left="72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Pourquoi le terme </w:t>
      </w:r>
      <w:bookmarkStart w:id="1" w:name="_Hlk10144289"/>
      <w:r>
        <w:rPr>
          <w:rFonts w:ascii="Arial" w:hAnsi="Arial" w:cs="Arial"/>
          <w:sz w:val="24"/>
          <w:szCs w:val="24"/>
          <w:lang w:val="fr-CA"/>
        </w:rPr>
        <w:t>« conférence en vue d’un règlement amiable » est-il remplacé par « conférence relative à la cause »</w:t>
      </w:r>
      <w:bookmarkEnd w:id="1"/>
      <w:r w:rsidR="00055419" w:rsidRPr="00C47ED4">
        <w:rPr>
          <w:rFonts w:ascii="Arial" w:hAnsi="Arial" w:cs="Arial"/>
          <w:sz w:val="24"/>
          <w:szCs w:val="24"/>
          <w:lang w:val="fr-CA"/>
        </w:rPr>
        <w:t>?</w:t>
      </w:r>
    </w:p>
    <w:p w:rsidR="00222618" w:rsidRPr="00C47ED4" w:rsidRDefault="005B6A30" w:rsidP="007741D9">
      <w:pPr>
        <w:pStyle w:val="ListParagraph"/>
        <w:ind w:left="144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En vertu des modifications proposées aux Règles, une « conférence en vue d’un règlement amiable » serait désormais une « conférence relative à la cause »</w:t>
      </w:r>
      <w:r w:rsidR="00655285" w:rsidRPr="00C47ED4">
        <w:rPr>
          <w:rFonts w:ascii="Arial" w:hAnsi="Arial" w:cs="Arial"/>
          <w:sz w:val="24"/>
          <w:szCs w:val="24"/>
          <w:lang w:val="fr-CA"/>
        </w:rPr>
        <w:t xml:space="preserve"> </w:t>
      </w:r>
      <w:r>
        <w:rPr>
          <w:rFonts w:ascii="Arial" w:hAnsi="Arial" w:cs="Arial"/>
          <w:sz w:val="24"/>
          <w:szCs w:val="24"/>
          <w:lang w:val="fr-CA"/>
        </w:rPr>
        <w:t>pour tenir compte du fait que le processus de conférence en vue d’un règlement amiable comprend la gestion des causes pour les audiences si un appel n’est pas réglé</w:t>
      </w:r>
      <w:r w:rsidR="00655285" w:rsidRPr="00C47ED4">
        <w:rPr>
          <w:rFonts w:ascii="Arial" w:hAnsi="Arial" w:cs="Arial"/>
          <w:sz w:val="24"/>
          <w:szCs w:val="24"/>
          <w:lang w:val="fr-CA"/>
        </w:rPr>
        <w:t>.</w:t>
      </w:r>
      <w:r>
        <w:rPr>
          <w:rFonts w:ascii="Arial" w:hAnsi="Arial" w:cs="Arial"/>
          <w:sz w:val="24"/>
          <w:szCs w:val="24"/>
          <w:lang w:val="fr-CA"/>
        </w:rPr>
        <w:t xml:space="preserve"> Aucune modification de fond ne sera apportée au processus actuel de conférence en vue d’un règlement amiable</w:t>
      </w:r>
      <w:r w:rsidR="00383241" w:rsidRPr="00C47ED4">
        <w:rPr>
          <w:rFonts w:ascii="Arial" w:hAnsi="Arial" w:cs="Arial"/>
          <w:sz w:val="24"/>
          <w:szCs w:val="24"/>
          <w:lang w:val="fr-CA"/>
        </w:rPr>
        <w:t>.</w:t>
      </w:r>
    </w:p>
    <w:p w:rsidR="00222618" w:rsidRPr="00C47ED4" w:rsidRDefault="00A32F34" w:rsidP="007741D9">
      <w:pPr>
        <w:ind w:left="720"/>
        <w:rPr>
          <w:rFonts w:ascii="Arial" w:hAnsi="Arial" w:cs="Arial"/>
          <w:sz w:val="24"/>
          <w:lang w:val="fr-CA"/>
        </w:rPr>
      </w:pPr>
      <w:r>
        <w:rPr>
          <w:rFonts w:ascii="Arial" w:hAnsi="Arial" w:cs="Arial"/>
          <w:sz w:val="24"/>
          <w:lang w:val="fr-CA"/>
        </w:rPr>
        <w:t>Pourquoi la médiation est-elle supprimée</w:t>
      </w:r>
      <w:r w:rsidR="00383241" w:rsidRPr="00C47ED4">
        <w:rPr>
          <w:rFonts w:ascii="Arial" w:hAnsi="Arial" w:cs="Arial"/>
          <w:sz w:val="24"/>
          <w:lang w:val="fr-CA"/>
        </w:rPr>
        <w:t>?</w:t>
      </w:r>
    </w:p>
    <w:p w:rsidR="00FB6E53" w:rsidRPr="00C47ED4" w:rsidRDefault="009E45AF" w:rsidP="007741D9">
      <w:pPr>
        <w:pStyle w:val="ListParagraph"/>
        <w:ind w:left="144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Bien que les modifications proposées aux Règles suppriment les références à la médiation</w:t>
      </w:r>
      <w:r w:rsidR="00383241" w:rsidRPr="00C47ED4">
        <w:rPr>
          <w:rFonts w:ascii="Arial" w:hAnsi="Arial" w:cs="Arial"/>
          <w:sz w:val="24"/>
          <w:szCs w:val="24"/>
          <w:lang w:val="fr-CA"/>
        </w:rPr>
        <w:t xml:space="preserve">, </w:t>
      </w:r>
      <w:r>
        <w:rPr>
          <w:rFonts w:ascii="Arial" w:hAnsi="Arial" w:cs="Arial"/>
          <w:sz w:val="24"/>
          <w:szCs w:val="24"/>
          <w:lang w:val="fr-CA"/>
        </w:rPr>
        <w:t xml:space="preserve">des </w:t>
      </w:r>
      <w:r w:rsidR="00383241" w:rsidRPr="00C47ED4">
        <w:rPr>
          <w:rFonts w:ascii="Arial" w:hAnsi="Arial" w:cs="Arial"/>
          <w:sz w:val="24"/>
          <w:szCs w:val="24"/>
          <w:lang w:val="fr-CA"/>
        </w:rPr>
        <w:t>services</w:t>
      </w:r>
      <w:r>
        <w:rPr>
          <w:rFonts w:ascii="Arial" w:hAnsi="Arial" w:cs="Arial"/>
          <w:sz w:val="24"/>
          <w:szCs w:val="24"/>
          <w:lang w:val="fr-CA"/>
        </w:rPr>
        <w:t xml:space="preserve"> de médiation seront encore disponibles durant le processus de conférence relative à la cause </w:t>
      </w:r>
      <w:r w:rsidR="00383241" w:rsidRPr="00C47ED4">
        <w:rPr>
          <w:rFonts w:ascii="Arial" w:hAnsi="Arial" w:cs="Arial"/>
          <w:sz w:val="24"/>
          <w:szCs w:val="24"/>
          <w:lang w:val="fr-CA"/>
        </w:rPr>
        <w:t>(</w:t>
      </w:r>
      <w:r>
        <w:rPr>
          <w:rFonts w:ascii="Arial" w:hAnsi="Arial" w:cs="Arial"/>
          <w:sz w:val="24"/>
          <w:szCs w:val="24"/>
          <w:lang w:val="fr-CA"/>
        </w:rPr>
        <w:t>anciennement appelé processus de conférence en vue d’un règlement amiable – voir ci-dessus</w:t>
      </w:r>
      <w:r w:rsidR="00383241" w:rsidRPr="00C47ED4">
        <w:rPr>
          <w:rFonts w:ascii="Arial" w:hAnsi="Arial" w:cs="Arial"/>
          <w:sz w:val="24"/>
          <w:szCs w:val="24"/>
          <w:lang w:val="fr-CA"/>
        </w:rPr>
        <w:t xml:space="preserve">).     </w:t>
      </w:r>
    </w:p>
    <w:p w:rsidR="00222618" w:rsidRPr="00C47ED4" w:rsidRDefault="008C1FE6" w:rsidP="007741D9">
      <w:pPr>
        <w:ind w:left="720"/>
        <w:rPr>
          <w:rFonts w:ascii="Arial" w:hAnsi="Arial" w:cs="Arial"/>
          <w:sz w:val="24"/>
          <w:lang w:val="fr-CA"/>
        </w:rPr>
      </w:pPr>
      <w:r>
        <w:rPr>
          <w:rFonts w:ascii="Arial" w:hAnsi="Arial" w:cs="Arial"/>
          <w:sz w:val="24"/>
          <w:lang w:val="fr-CA"/>
        </w:rPr>
        <w:t>Le processus du f</w:t>
      </w:r>
      <w:r w:rsidRPr="008C1FE6">
        <w:rPr>
          <w:rFonts w:ascii="Arial" w:hAnsi="Arial" w:cs="Arial"/>
          <w:sz w:val="24"/>
          <w:lang w:val="fr-CA"/>
        </w:rPr>
        <w:t>ormulaire de demande de directives accélérées de la Commission</w:t>
      </w:r>
      <w:r w:rsidR="00383241" w:rsidRPr="00C47ED4">
        <w:rPr>
          <w:rFonts w:ascii="Arial" w:hAnsi="Arial" w:cs="Arial"/>
          <w:sz w:val="24"/>
          <w:lang w:val="fr-CA"/>
        </w:rPr>
        <w:t xml:space="preserve"> </w:t>
      </w:r>
      <w:r w:rsidR="00046BD4" w:rsidRPr="00C47ED4">
        <w:rPr>
          <w:rFonts w:ascii="Arial" w:hAnsi="Arial" w:cs="Arial"/>
          <w:sz w:val="24"/>
          <w:lang w:val="fr-CA"/>
        </w:rPr>
        <w:t>(</w:t>
      </w:r>
      <w:r>
        <w:rPr>
          <w:rFonts w:ascii="Arial" w:hAnsi="Arial" w:cs="Arial"/>
          <w:sz w:val="24"/>
          <w:lang w:val="fr-CA"/>
        </w:rPr>
        <w:t>FDDAC</w:t>
      </w:r>
      <w:r w:rsidR="00046BD4" w:rsidRPr="00C47ED4">
        <w:rPr>
          <w:rFonts w:ascii="Arial" w:hAnsi="Arial" w:cs="Arial"/>
          <w:sz w:val="24"/>
          <w:lang w:val="fr-CA"/>
        </w:rPr>
        <w:t xml:space="preserve">) </w:t>
      </w:r>
      <w:r>
        <w:rPr>
          <w:rFonts w:ascii="Arial" w:hAnsi="Arial" w:cs="Arial"/>
          <w:sz w:val="24"/>
          <w:lang w:val="fr-CA"/>
        </w:rPr>
        <w:t xml:space="preserve">est-il encore disponible si les </w:t>
      </w:r>
      <w:r w:rsidR="00383241" w:rsidRPr="00C47ED4">
        <w:rPr>
          <w:rFonts w:ascii="Arial" w:hAnsi="Arial" w:cs="Arial"/>
          <w:sz w:val="24"/>
          <w:lang w:val="fr-CA"/>
        </w:rPr>
        <w:t>parties</w:t>
      </w:r>
      <w:r>
        <w:rPr>
          <w:rFonts w:ascii="Arial" w:hAnsi="Arial" w:cs="Arial"/>
          <w:sz w:val="24"/>
          <w:lang w:val="fr-CA"/>
        </w:rPr>
        <w:t xml:space="preserve"> ont besoin de directives de la Commission</w:t>
      </w:r>
      <w:r w:rsidR="00383241" w:rsidRPr="00C47ED4">
        <w:rPr>
          <w:rFonts w:ascii="Arial" w:hAnsi="Arial" w:cs="Arial"/>
          <w:sz w:val="24"/>
          <w:lang w:val="fr-CA"/>
        </w:rPr>
        <w:t>?</w:t>
      </w:r>
    </w:p>
    <w:p w:rsidR="002B3A13" w:rsidRPr="00C47ED4" w:rsidRDefault="008C1FE6" w:rsidP="00CD6EB0">
      <w:pPr>
        <w:pStyle w:val="ListParagraph"/>
        <w:ind w:left="144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Oui, le processus du FDDAC est maintenu et demeure inchangé</w:t>
      </w:r>
      <w:r w:rsidR="002B3A13" w:rsidRPr="00C47ED4">
        <w:rPr>
          <w:rFonts w:ascii="Arial" w:hAnsi="Arial" w:cs="Arial"/>
          <w:sz w:val="24"/>
          <w:szCs w:val="24"/>
          <w:lang w:val="fr-CA"/>
        </w:rPr>
        <w:t xml:space="preserve">. </w:t>
      </w:r>
    </w:p>
    <w:p w:rsidR="00055419" w:rsidRPr="00C47ED4" w:rsidRDefault="00F04A6C" w:rsidP="00CD6EB0">
      <w:pPr>
        <w:ind w:left="72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Y aura-t-il d’autres modifications à l’avenir</w:t>
      </w:r>
      <w:r w:rsidR="00FB6E53" w:rsidRPr="00C47ED4">
        <w:rPr>
          <w:rFonts w:ascii="Arial" w:hAnsi="Arial" w:cs="Arial"/>
          <w:sz w:val="24"/>
          <w:szCs w:val="24"/>
          <w:lang w:val="fr-CA"/>
        </w:rPr>
        <w:t>?</w:t>
      </w:r>
    </w:p>
    <w:p w:rsidR="00222618" w:rsidRPr="00C47ED4" w:rsidRDefault="00D40342" w:rsidP="007741D9">
      <w:pPr>
        <w:pStyle w:val="ListParagraph"/>
        <w:ind w:left="1440"/>
        <w:rPr>
          <w:rFonts w:ascii="Arial" w:hAnsi="Arial" w:cs="Arial"/>
          <w:sz w:val="24"/>
          <w:szCs w:val="24"/>
          <w:lang w:val="fr-CA"/>
        </w:rPr>
      </w:pPr>
      <w:r w:rsidRPr="009810AC">
        <w:rPr>
          <w:rFonts w:ascii="Arial" w:hAnsi="Arial" w:cs="Arial"/>
          <w:sz w:val="24"/>
          <w:szCs w:val="24"/>
          <w:lang w:val="fr-CA"/>
        </w:rPr>
        <w:t xml:space="preserve">Tribunaux décisionnels Ontario </w:t>
      </w:r>
      <w:r>
        <w:rPr>
          <w:rFonts w:ascii="Arial" w:hAnsi="Arial" w:cs="Arial"/>
          <w:sz w:val="24"/>
          <w:szCs w:val="24"/>
          <w:lang w:val="fr-CA"/>
        </w:rPr>
        <w:t>examine actuellement les activités de toutes ses commissions et de tous ses tribunaux</w:t>
      </w:r>
      <w:r w:rsidR="00320B8F" w:rsidRPr="00C47ED4">
        <w:rPr>
          <w:rFonts w:ascii="Arial" w:hAnsi="Arial" w:cs="Arial"/>
          <w:sz w:val="24"/>
          <w:szCs w:val="24"/>
          <w:lang w:val="fr-CA"/>
        </w:rPr>
        <w:t xml:space="preserve">. </w:t>
      </w:r>
      <w:r w:rsidR="00536718">
        <w:rPr>
          <w:rFonts w:ascii="Arial" w:hAnsi="Arial" w:cs="Arial"/>
          <w:sz w:val="24"/>
          <w:szCs w:val="24"/>
          <w:lang w:val="fr-CA"/>
        </w:rPr>
        <w:t>Une fois l’examen terminé, la Commission décidera s’il y a lieu d’apporter d’autres modifications pour le prochain</w:t>
      </w:r>
      <w:r w:rsidR="005641CC" w:rsidRPr="00C47ED4">
        <w:rPr>
          <w:rFonts w:ascii="Arial" w:hAnsi="Arial" w:cs="Arial"/>
          <w:sz w:val="24"/>
          <w:szCs w:val="24"/>
          <w:lang w:val="fr-CA"/>
        </w:rPr>
        <w:t xml:space="preserve"> cycle.</w:t>
      </w:r>
    </w:p>
    <w:p w:rsidR="00FB6E53" w:rsidRPr="00C47ED4" w:rsidRDefault="005C4961" w:rsidP="007741D9">
      <w:pPr>
        <w:ind w:left="720"/>
        <w:rPr>
          <w:rFonts w:ascii="Arial" w:hAnsi="Arial" w:cs="Arial"/>
          <w:sz w:val="24"/>
          <w:lang w:val="fr-CA"/>
        </w:rPr>
      </w:pPr>
      <w:r>
        <w:rPr>
          <w:rFonts w:ascii="Arial" w:hAnsi="Arial" w:cs="Arial"/>
          <w:sz w:val="24"/>
          <w:lang w:val="fr-CA"/>
        </w:rPr>
        <w:t>Est-ce que toutes les audiences doivent être tenues par voie électronique, plutôt qu’en personne</w:t>
      </w:r>
      <w:r w:rsidR="00CD6EB0" w:rsidRPr="00C47ED4">
        <w:rPr>
          <w:rFonts w:ascii="Arial" w:hAnsi="Arial" w:cs="Arial"/>
          <w:sz w:val="24"/>
          <w:lang w:val="fr-CA"/>
        </w:rPr>
        <w:t>?</w:t>
      </w:r>
    </w:p>
    <w:p w:rsidR="00817F0E" w:rsidRPr="00C47ED4" w:rsidRDefault="00610854" w:rsidP="00CD6EB0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lastRenderedPageBreak/>
        <w:t>La Commission tiendra des audiences par voie électronique</w:t>
      </w:r>
      <w:r w:rsidR="00241DEC" w:rsidRPr="00C47ED4">
        <w:rPr>
          <w:rFonts w:ascii="Arial" w:hAnsi="Arial" w:cs="Arial"/>
          <w:sz w:val="24"/>
          <w:szCs w:val="24"/>
          <w:lang w:val="fr-CA"/>
        </w:rPr>
        <w:t>,</w:t>
      </w:r>
      <w:r>
        <w:rPr>
          <w:rFonts w:ascii="Arial" w:hAnsi="Arial" w:cs="Arial"/>
          <w:sz w:val="24"/>
          <w:szCs w:val="24"/>
          <w:lang w:val="fr-CA"/>
        </w:rPr>
        <w:t xml:space="preserve"> soit par téléconférence, soit par vidéoconférence</w:t>
      </w:r>
      <w:r w:rsidR="00241DEC" w:rsidRPr="00C47ED4">
        <w:rPr>
          <w:rFonts w:ascii="Arial" w:hAnsi="Arial" w:cs="Arial"/>
          <w:sz w:val="24"/>
          <w:szCs w:val="24"/>
          <w:lang w:val="fr-CA"/>
        </w:rPr>
        <w:t xml:space="preserve">, </w:t>
      </w:r>
      <w:r w:rsidRPr="00610854">
        <w:rPr>
          <w:rFonts w:ascii="Arial" w:hAnsi="Arial" w:cs="Arial"/>
          <w:sz w:val="24"/>
          <w:szCs w:val="24"/>
          <w:lang w:val="fr-CA"/>
        </w:rPr>
        <w:t>à moins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610854">
        <w:rPr>
          <w:rFonts w:ascii="Arial" w:hAnsi="Arial" w:cs="Arial"/>
          <w:sz w:val="24"/>
          <w:szCs w:val="24"/>
          <w:lang w:val="fr-CA"/>
        </w:rPr>
        <w:t xml:space="preserve">qu’une partie </w:t>
      </w:r>
      <w:r>
        <w:rPr>
          <w:rFonts w:ascii="Arial" w:hAnsi="Arial" w:cs="Arial"/>
          <w:sz w:val="24"/>
          <w:szCs w:val="24"/>
          <w:lang w:val="fr-CA"/>
        </w:rPr>
        <w:t xml:space="preserve">ne </w:t>
      </w:r>
      <w:r w:rsidRPr="00610854">
        <w:rPr>
          <w:rFonts w:ascii="Arial" w:hAnsi="Arial" w:cs="Arial"/>
          <w:sz w:val="24"/>
          <w:szCs w:val="24"/>
          <w:lang w:val="fr-CA"/>
        </w:rPr>
        <w:t>convainque la Commission que la tenue d’une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610854">
        <w:rPr>
          <w:rFonts w:ascii="Arial" w:hAnsi="Arial" w:cs="Arial"/>
          <w:sz w:val="24"/>
          <w:szCs w:val="24"/>
          <w:lang w:val="fr-CA"/>
        </w:rPr>
        <w:t>audience électronique</w:t>
      </w:r>
      <w:r>
        <w:rPr>
          <w:rFonts w:ascii="Arial" w:hAnsi="Arial" w:cs="Arial"/>
          <w:sz w:val="24"/>
          <w:szCs w:val="24"/>
          <w:lang w:val="fr-CA"/>
        </w:rPr>
        <w:t xml:space="preserve"> lui</w:t>
      </w:r>
      <w:r w:rsidRPr="00610854">
        <w:rPr>
          <w:rFonts w:ascii="Arial" w:hAnsi="Arial" w:cs="Arial"/>
          <w:sz w:val="24"/>
          <w:szCs w:val="24"/>
          <w:lang w:val="fr-CA"/>
        </w:rPr>
        <w:t xml:space="preserve"> causera vraisemblablement un préjudice considérable</w:t>
      </w:r>
      <w:r>
        <w:rPr>
          <w:rFonts w:ascii="Arial" w:hAnsi="Arial" w:cs="Arial"/>
          <w:sz w:val="24"/>
          <w:szCs w:val="24"/>
          <w:lang w:val="fr-CA"/>
        </w:rPr>
        <w:t>.</w:t>
      </w:r>
      <w:r w:rsidR="00FD36FF">
        <w:rPr>
          <w:rFonts w:ascii="Arial" w:hAnsi="Arial" w:cs="Arial"/>
          <w:sz w:val="24"/>
          <w:szCs w:val="24"/>
          <w:lang w:val="fr-CA"/>
        </w:rPr>
        <w:t xml:space="preserve"> Les (nouvelles) règles</w:t>
      </w:r>
      <w:r w:rsidR="00241DEC" w:rsidRPr="00C47ED4">
        <w:rPr>
          <w:rFonts w:ascii="Arial" w:hAnsi="Arial" w:cs="Arial"/>
          <w:sz w:val="24"/>
          <w:szCs w:val="24"/>
          <w:lang w:val="fr-CA"/>
        </w:rPr>
        <w:t xml:space="preserve"> 86 </w:t>
      </w:r>
      <w:r w:rsidR="00FD36FF">
        <w:rPr>
          <w:rFonts w:ascii="Arial" w:hAnsi="Arial" w:cs="Arial"/>
          <w:sz w:val="24"/>
          <w:szCs w:val="24"/>
          <w:lang w:val="fr-CA"/>
        </w:rPr>
        <w:t>à</w:t>
      </w:r>
      <w:r w:rsidR="00241DEC" w:rsidRPr="00C47ED4">
        <w:rPr>
          <w:rFonts w:ascii="Arial" w:hAnsi="Arial" w:cs="Arial"/>
          <w:sz w:val="24"/>
          <w:szCs w:val="24"/>
          <w:lang w:val="fr-CA"/>
        </w:rPr>
        <w:t xml:space="preserve"> 91 </w:t>
      </w:r>
      <w:r w:rsidR="00FD36FF">
        <w:rPr>
          <w:rFonts w:ascii="Arial" w:hAnsi="Arial" w:cs="Arial"/>
          <w:sz w:val="24"/>
          <w:szCs w:val="24"/>
          <w:lang w:val="fr-CA"/>
        </w:rPr>
        <w:t xml:space="preserve">et les actuelles règles </w:t>
      </w:r>
      <w:r w:rsidR="00094BF2" w:rsidRPr="00C47ED4">
        <w:rPr>
          <w:rFonts w:ascii="Arial" w:hAnsi="Arial" w:cs="Arial"/>
          <w:sz w:val="24"/>
          <w:szCs w:val="24"/>
          <w:lang w:val="fr-CA"/>
        </w:rPr>
        <w:t xml:space="preserve">90 </w:t>
      </w:r>
      <w:r w:rsidR="00FD36FF">
        <w:rPr>
          <w:rFonts w:ascii="Arial" w:hAnsi="Arial" w:cs="Arial"/>
          <w:sz w:val="24"/>
          <w:szCs w:val="24"/>
          <w:lang w:val="fr-CA"/>
        </w:rPr>
        <w:t xml:space="preserve">à </w:t>
      </w:r>
      <w:r w:rsidR="00094BF2" w:rsidRPr="00C47ED4">
        <w:rPr>
          <w:rFonts w:ascii="Arial" w:hAnsi="Arial" w:cs="Arial"/>
          <w:sz w:val="24"/>
          <w:szCs w:val="24"/>
          <w:lang w:val="fr-CA"/>
        </w:rPr>
        <w:t xml:space="preserve">95 </w:t>
      </w:r>
      <w:r w:rsidR="003E4336">
        <w:rPr>
          <w:rFonts w:ascii="Arial" w:hAnsi="Arial" w:cs="Arial"/>
          <w:sz w:val="24"/>
          <w:szCs w:val="24"/>
          <w:lang w:val="fr-CA"/>
        </w:rPr>
        <w:t>indiqu</w:t>
      </w:r>
      <w:r w:rsidR="00FD36FF">
        <w:rPr>
          <w:rFonts w:ascii="Arial" w:hAnsi="Arial" w:cs="Arial"/>
          <w:sz w:val="24"/>
          <w:szCs w:val="24"/>
          <w:lang w:val="fr-CA"/>
        </w:rPr>
        <w:t>ent la procédure à suivre pour s’opposer à la tenue d’une audience électronique</w:t>
      </w:r>
      <w:r w:rsidR="00241DEC" w:rsidRPr="00C47ED4">
        <w:rPr>
          <w:rFonts w:ascii="Arial" w:hAnsi="Arial" w:cs="Arial"/>
          <w:sz w:val="24"/>
          <w:szCs w:val="24"/>
          <w:lang w:val="fr-CA"/>
        </w:rPr>
        <w:t>.</w:t>
      </w:r>
    </w:p>
    <w:p w:rsidR="00817F0E" w:rsidRPr="00C47ED4" w:rsidRDefault="00817F0E" w:rsidP="00D05A87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:rsidR="00FB6E53" w:rsidRPr="00C47ED4" w:rsidRDefault="00984C62" w:rsidP="007741D9">
      <w:pPr>
        <w:ind w:left="720"/>
        <w:rPr>
          <w:rFonts w:ascii="Arial" w:hAnsi="Arial" w:cs="Arial"/>
          <w:sz w:val="24"/>
          <w:lang w:val="fr-CA"/>
        </w:rPr>
      </w:pPr>
      <w:r>
        <w:rPr>
          <w:rFonts w:ascii="Arial" w:hAnsi="Arial" w:cs="Arial"/>
          <w:sz w:val="24"/>
          <w:lang w:val="fr-CA"/>
        </w:rPr>
        <w:t>Qu’arrive-t-il si je ne peux comparaître à mon audience</w:t>
      </w:r>
      <w:r w:rsidR="00F0222C" w:rsidRPr="00C47ED4">
        <w:rPr>
          <w:rFonts w:ascii="Arial" w:hAnsi="Arial" w:cs="Arial"/>
          <w:sz w:val="24"/>
          <w:lang w:val="fr-CA"/>
        </w:rPr>
        <w:t>?</w:t>
      </w:r>
    </w:p>
    <w:p w:rsidR="00D05A87" w:rsidRPr="00C47ED4" w:rsidRDefault="00984C62" w:rsidP="00CD6EB0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Comme auparavant, si vous ne pouvez comparaître à l’audience à la date fixée par la Commission, vous pouvez demander un ajournement</w:t>
      </w:r>
      <w:r w:rsidR="00556370" w:rsidRPr="00C47ED4">
        <w:rPr>
          <w:rFonts w:ascii="Arial" w:hAnsi="Arial" w:cs="Arial"/>
          <w:sz w:val="24"/>
          <w:szCs w:val="24"/>
          <w:lang w:val="fr-CA"/>
        </w:rPr>
        <w:t>.</w:t>
      </w:r>
      <w:r>
        <w:rPr>
          <w:rFonts w:ascii="Arial" w:hAnsi="Arial" w:cs="Arial"/>
          <w:sz w:val="24"/>
          <w:szCs w:val="24"/>
          <w:lang w:val="fr-CA"/>
        </w:rPr>
        <w:t xml:space="preserve"> Veuillez consulter les règles </w:t>
      </w:r>
      <w:r w:rsidR="00241DEC" w:rsidRPr="00C47ED4">
        <w:rPr>
          <w:rFonts w:ascii="Arial" w:hAnsi="Arial" w:cs="Arial"/>
          <w:sz w:val="24"/>
          <w:szCs w:val="24"/>
          <w:lang w:val="fr-CA"/>
        </w:rPr>
        <w:t xml:space="preserve">82 </w:t>
      </w:r>
      <w:r>
        <w:rPr>
          <w:rFonts w:ascii="Arial" w:hAnsi="Arial" w:cs="Arial"/>
          <w:sz w:val="24"/>
          <w:szCs w:val="24"/>
          <w:lang w:val="fr-CA"/>
        </w:rPr>
        <w:t>à</w:t>
      </w:r>
      <w:r w:rsidR="00241DEC" w:rsidRPr="00C47ED4">
        <w:rPr>
          <w:rFonts w:ascii="Arial" w:hAnsi="Arial" w:cs="Arial"/>
          <w:sz w:val="24"/>
          <w:szCs w:val="24"/>
          <w:lang w:val="fr-CA"/>
        </w:rPr>
        <w:t xml:space="preserve"> 85</w:t>
      </w:r>
      <w:r>
        <w:rPr>
          <w:rFonts w:ascii="Arial" w:hAnsi="Arial" w:cs="Arial"/>
          <w:sz w:val="24"/>
          <w:szCs w:val="24"/>
          <w:lang w:val="fr-CA"/>
        </w:rPr>
        <w:t xml:space="preserve"> pour obtenir des renseignements sur le processus d’ajournement</w:t>
      </w:r>
      <w:r w:rsidR="00241DEC" w:rsidRPr="00C47ED4">
        <w:rPr>
          <w:rFonts w:ascii="Arial" w:hAnsi="Arial" w:cs="Arial"/>
          <w:sz w:val="24"/>
          <w:szCs w:val="24"/>
          <w:lang w:val="fr-CA"/>
        </w:rPr>
        <w:t>.</w:t>
      </w:r>
    </w:p>
    <w:p w:rsidR="00241DEC" w:rsidRPr="00C47ED4" w:rsidRDefault="00241DEC" w:rsidP="00D05A87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sz w:val="24"/>
          <w:szCs w:val="24"/>
          <w:lang w:val="fr-CA"/>
        </w:rPr>
      </w:pPr>
    </w:p>
    <w:p w:rsidR="00FB6E53" w:rsidRPr="00C47ED4" w:rsidRDefault="00855FC9" w:rsidP="007741D9">
      <w:pPr>
        <w:ind w:left="720"/>
        <w:rPr>
          <w:rFonts w:ascii="Arial" w:hAnsi="Arial" w:cs="Arial"/>
          <w:sz w:val="24"/>
          <w:lang w:val="fr-CA"/>
        </w:rPr>
      </w:pPr>
      <w:r>
        <w:rPr>
          <w:rFonts w:ascii="Arial" w:hAnsi="Arial" w:cs="Arial"/>
          <w:sz w:val="24"/>
          <w:lang w:val="fr-CA"/>
        </w:rPr>
        <w:t>Le</w:t>
      </w:r>
      <w:r w:rsidR="00B67099">
        <w:rPr>
          <w:rFonts w:ascii="Arial" w:hAnsi="Arial" w:cs="Arial"/>
          <w:sz w:val="24"/>
          <w:lang w:val="fr-CA"/>
        </w:rPr>
        <w:t xml:space="preserve"> programme des </w:t>
      </w:r>
      <w:r>
        <w:rPr>
          <w:rFonts w:ascii="Arial" w:hAnsi="Arial" w:cs="Arial"/>
          <w:sz w:val="24"/>
          <w:lang w:val="fr-CA"/>
        </w:rPr>
        <w:t>biens spéciaux</w:t>
      </w:r>
      <w:r w:rsidR="00241DEC" w:rsidRPr="00C47ED4">
        <w:rPr>
          <w:rFonts w:ascii="Arial" w:hAnsi="Arial" w:cs="Arial"/>
          <w:sz w:val="24"/>
          <w:lang w:val="fr-CA"/>
        </w:rPr>
        <w:t xml:space="preserve"> </w:t>
      </w:r>
      <w:r w:rsidR="00B67099">
        <w:rPr>
          <w:rFonts w:ascii="Arial" w:hAnsi="Arial" w:cs="Arial"/>
          <w:sz w:val="24"/>
          <w:lang w:val="fr-CA"/>
        </w:rPr>
        <w:t>s’appliquera</w:t>
      </w:r>
      <w:r>
        <w:rPr>
          <w:rFonts w:ascii="Arial" w:hAnsi="Arial" w:cs="Arial"/>
          <w:sz w:val="24"/>
          <w:lang w:val="fr-CA"/>
        </w:rPr>
        <w:t xml:space="preserve">-t-il </w:t>
      </w:r>
      <w:r w:rsidR="00B67099">
        <w:rPr>
          <w:rFonts w:ascii="Arial" w:hAnsi="Arial" w:cs="Arial"/>
          <w:sz w:val="24"/>
          <w:lang w:val="fr-CA"/>
        </w:rPr>
        <w:t>encore</w:t>
      </w:r>
      <w:r w:rsidR="00241DEC" w:rsidRPr="00C47ED4">
        <w:rPr>
          <w:rFonts w:ascii="Arial" w:hAnsi="Arial" w:cs="Arial"/>
          <w:sz w:val="24"/>
          <w:lang w:val="fr-CA"/>
        </w:rPr>
        <w:t>?</w:t>
      </w:r>
    </w:p>
    <w:p w:rsidR="00241DEC" w:rsidRPr="00C47ED4" w:rsidRDefault="00B67099" w:rsidP="00CD6EB0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Oui</w:t>
      </w:r>
      <w:r w:rsidR="00241DEC" w:rsidRPr="00C47ED4">
        <w:rPr>
          <w:rFonts w:ascii="Arial" w:hAnsi="Arial" w:cs="Arial"/>
          <w:sz w:val="24"/>
          <w:szCs w:val="24"/>
          <w:lang w:val="fr-CA"/>
        </w:rPr>
        <w:t>.</w:t>
      </w:r>
      <w:r w:rsidR="00F6419D">
        <w:rPr>
          <w:rFonts w:ascii="Arial" w:hAnsi="Arial" w:cs="Arial"/>
          <w:sz w:val="24"/>
          <w:szCs w:val="24"/>
          <w:lang w:val="fr-CA"/>
        </w:rPr>
        <w:t xml:space="preserve"> Le</w:t>
      </w:r>
      <w:r w:rsidR="00241DEC" w:rsidRPr="00C47ED4">
        <w:rPr>
          <w:rFonts w:ascii="Arial" w:hAnsi="Arial" w:cs="Arial"/>
          <w:sz w:val="24"/>
          <w:szCs w:val="24"/>
          <w:lang w:val="fr-CA"/>
        </w:rPr>
        <w:t xml:space="preserve"> </w:t>
      </w:r>
      <w:r w:rsidR="00855FC9">
        <w:rPr>
          <w:rFonts w:ascii="Arial" w:hAnsi="Arial" w:cs="Arial"/>
          <w:sz w:val="24"/>
          <w:lang w:val="fr-CA"/>
        </w:rPr>
        <w:t>programme des biens spéciaux</w:t>
      </w:r>
      <w:r w:rsidR="00855FC9" w:rsidRPr="00C47ED4">
        <w:rPr>
          <w:rFonts w:ascii="Arial" w:hAnsi="Arial" w:cs="Arial"/>
          <w:sz w:val="24"/>
          <w:lang w:val="fr-CA"/>
        </w:rPr>
        <w:t xml:space="preserve"> </w:t>
      </w:r>
      <w:r w:rsidR="00F6419D">
        <w:rPr>
          <w:rFonts w:ascii="Arial" w:hAnsi="Arial" w:cs="Arial"/>
          <w:sz w:val="24"/>
          <w:szCs w:val="24"/>
          <w:lang w:val="fr-CA"/>
        </w:rPr>
        <w:t>est encore disponible</w:t>
      </w:r>
      <w:r w:rsidR="00241DEC" w:rsidRPr="00C47ED4">
        <w:rPr>
          <w:rFonts w:ascii="Arial" w:hAnsi="Arial" w:cs="Arial"/>
          <w:sz w:val="24"/>
          <w:szCs w:val="24"/>
          <w:lang w:val="fr-CA"/>
        </w:rPr>
        <w:t xml:space="preserve"> </w:t>
      </w:r>
      <w:r w:rsidR="00F6419D">
        <w:rPr>
          <w:rFonts w:ascii="Arial" w:hAnsi="Arial" w:cs="Arial"/>
          <w:sz w:val="24"/>
          <w:szCs w:val="24"/>
          <w:lang w:val="fr-CA"/>
        </w:rPr>
        <w:t>pour les biens qui répondent aux exigences énoncées dans la ligne directrice</w:t>
      </w:r>
      <w:r w:rsidR="00241DEC" w:rsidRPr="00C47ED4">
        <w:rPr>
          <w:rFonts w:ascii="Arial" w:hAnsi="Arial" w:cs="Arial"/>
          <w:sz w:val="24"/>
          <w:szCs w:val="24"/>
          <w:lang w:val="fr-CA"/>
        </w:rPr>
        <w:t xml:space="preserve">. </w:t>
      </w:r>
      <w:r w:rsidR="00F6419D">
        <w:rPr>
          <w:rFonts w:ascii="Arial" w:hAnsi="Arial" w:cs="Arial"/>
          <w:sz w:val="24"/>
          <w:szCs w:val="24"/>
          <w:lang w:val="fr-CA"/>
        </w:rPr>
        <w:t xml:space="preserve">La date limite pour présenter une demande sera désormais la semaine </w:t>
      </w:r>
      <w:r w:rsidR="00241DEC" w:rsidRPr="00C47ED4">
        <w:rPr>
          <w:rFonts w:ascii="Arial" w:hAnsi="Arial" w:cs="Arial"/>
          <w:sz w:val="24"/>
          <w:szCs w:val="24"/>
          <w:lang w:val="fr-CA"/>
        </w:rPr>
        <w:t>32</w:t>
      </w:r>
      <w:r w:rsidR="00F6419D">
        <w:rPr>
          <w:rFonts w:ascii="Arial" w:hAnsi="Arial" w:cs="Arial"/>
          <w:sz w:val="24"/>
          <w:szCs w:val="24"/>
          <w:lang w:val="fr-CA"/>
        </w:rPr>
        <w:t xml:space="preserve"> du calendrier des procédures</w:t>
      </w:r>
      <w:r w:rsidR="00241DEC" w:rsidRPr="00C47ED4">
        <w:rPr>
          <w:rFonts w:ascii="Arial" w:hAnsi="Arial" w:cs="Arial"/>
          <w:sz w:val="24"/>
          <w:szCs w:val="24"/>
          <w:lang w:val="fr-CA"/>
        </w:rPr>
        <w:t>.</w:t>
      </w:r>
    </w:p>
    <w:p w:rsidR="00FB6E53" w:rsidRPr="00C47ED4" w:rsidRDefault="00FB6E53" w:rsidP="00241DEC">
      <w:pPr>
        <w:spacing w:after="0" w:line="240" w:lineRule="auto"/>
        <w:ind w:left="993"/>
        <w:rPr>
          <w:rFonts w:ascii="Arial" w:hAnsi="Arial" w:cs="Arial"/>
          <w:sz w:val="24"/>
          <w:szCs w:val="24"/>
          <w:lang w:val="fr-CA"/>
        </w:rPr>
      </w:pPr>
    </w:p>
    <w:p w:rsidR="00FB6E53" w:rsidRPr="00C47ED4" w:rsidRDefault="00B67099" w:rsidP="007741D9">
      <w:pPr>
        <w:ind w:left="720"/>
        <w:rPr>
          <w:rFonts w:ascii="Arial" w:hAnsi="Arial" w:cs="Arial"/>
          <w:sz w:val="24"/>
          <w:lang w:val="fr-CA"/>
        </w:rPr>
      </w:pPr>
      <w:r>
        <w:rPr>
          <w:rFonts w:ascii="Arial" w:hAnsi="Arial" w:cs="Arial"/>
          <w:sz w:val="24"/>
          <w:lang w:val="fr-CA"/>
        </w:rPr>
        <w:t>Que sont les « mois d’audience »</w:t>
      </w:r>
      <w:r w:rsidR="00F0222C" w:rsidRPr="00C47ED4">
        <w:rPr>
          <w:rFonts w:ascii="Arial" w:hAnsi="Arial" w:cs="Arial"/>
          <w:sz w:val="24"/>
          <w:lang w:val="fr-CA"/>
        </w:rPr>
        <w:t xml:space="preserve">? </w:t>
      </w:r>
      <w:r>
        <w:rPr>
          <w:rFonts w:ascii="Arial" w:hAnsi="Arial" w:cs="Arial"/>
          <w:sz w:val="24"/>
          <w:lang w:val="fr-CA"/>
        </w:rPr>
        <w:t>Pourrons-nous en choisir un</w:t>
      </w:r>
      <w:r w:rsidR="00F0222C" w:rsidRPr="00C47ED4">
        <w:rPr>
          <w:rFonts w:ascii="Arial" w:hAnsi="Arial" w:cs="Arial"/>
          <w:sz w:val="24"/>
          <w:lang w:val="fr-CA"/>
        </w:rPr>
        <w:t>?</w:t>
      </w:r>
      <w:r w:rsidR="00123B04" w:rsidRPr="00C47ED4">
        <w:rPr>
          <w:rFonts w:ascii="Arial" w:hAnsi="Arial" w:cs="Arial"/>
          <w:sz w:val="24"/>
          <w:lang w:val="fr-CA"/>
        </w:rPr>
        <w:t xml:space="preserve">  </w:t>
      </w:r>
    </w:p>
    <w:p w:rsidR="00241DEC" w:rsidRPr="00C47ED4" w:rsidRDefault="00DE045C" w:rsidP="00CD6EB0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La Commission commencera à assigner un mois au cours duquel les appels seront vraisemblablement instruits, en fonction de la date d’introduction assignée aux appels. Cela aidera les </w:t>
      </w:r>
      <w:r w:rsidR="00241DEC" w:rsidRPr="00C47ED4">
        <w:rPr>
          <w:rFonts w:ascii="Arial" w:hAnsi="Arial" w:cs="Arial"/>
          <w:sz w:val="24"/>
          <w:szCs w:val="24"/>
          <w:lang w:val="fr-CA"/>
        </w:rPr>
        <w:t>parties</w:t>
      </w:r>
      <w:r>
        <w:rPr>
          <w:rFonts w:ascii="Arial" w:hAnsi="Arial" w:cs="Arial"/>
          <w:sz w:val="24"/>
          <w:szCs w:val="24"/>
          <w:lang w:val="fr-CA"/>
        </w:rPr>
        <w:t xml:space="preserve"> à planifier leurs affaires</w:t>
      </w:r>
      <w:r w:rsidR="00241DEC" w:rsidRPr="00C47ED4">
        <w:rPr>
          <w:rFonts w:ascii="Arial" w:hAnsi="Arial" w:cs="Arial"/>
          <w:sz w:val="24"/>
          <w:szCs w:val="24"/>
          <w:lang w:val="fr-CA"/>
        </w:rPr>
        <w:t>.</w:t>
      </w:r>
    </w:p>
    <w:p w:rsidR="00241DEC" w:rsidRPr="00C47ED4" w:rsidRDefault="00241DEC" w:rsidP="00D05A87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:rsidR="00241DEC" w:rsidRPr="00C47ED4" w:rsidRDefault="00241DEC" w:rsidP="00D05A87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:rsidR="007D1BD2" w:rsidRPr="00C47ED4" w:rsidRDefault="007D1BD2" w:rsidP="00D05A87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sectPr w:rsidR="007D1BD2" w:rsidRPr="00C47E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DF7" w:rsidRDefault="00D65DF7" w:rsidP="00D65DF7">
      <w:pPr>
        <w:spacing w:after="0" w:line="240" w:lineRule="auto"/>
      </w:pPr>
      <w:r>
        <w:separator/>
      </w:r>
    </w:p>
  </w:endnote>
  <w:endnote w:type="continuationSeparator" w:id="0">
    <w:p w:rsidR="00D65DF7" w:rsidRDefault="00D65DF7" w:rsidP="00D65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DF7" w:rsidRDefault="00D65DF7" w:rsidP="00D65DF7">
      <w:pPr>
        <w:spacing w:after="0" w:line="240" w:lineRule="auto"/>
      </w:pPr>
      <w:r>
        <w:separator/>
      </w:r>
    </w:p>
  </w:footnote>
  <w:footnote w:type="continuationSeparator" w:id="0">
    <w:p w:rsidR="00D65DF7" w:rsidRDefault="00D65DF7" w:rsidP="00D65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26755"/>
    <w:multiLevelType w:val="hybridMultilevel"/>
    <w:tmpl w:val="C9C889DC"/>
    <w:lvl w:ilvl="0" w:tplc="EB14FE8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06BB6"/>
    <w:multiLevelType w:val="hybridMultilevel"/>
    <w:tmpl w:val="FB14B42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C0018"/>
    <w:multiLevelType w:val="hybridMultilevel"/>
    <w:tmpl w:val="8C84349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B4CBC"/>
    <w:multiLevelType w:val="hybridMultilevel"/>
    <w:tmpl w:val="20E084A8"/>
    <w:lvl w:ilvl="0" w:tplc="D7DA4A9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23099"/>
    <w:multiLevelType w:val="hybridMultilevel"/>
    <w:tmpl w:val="4EB842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428C6"/>
    <w:multiLevelType w:val="hybridMultilevel"/>
    <w:tmpl w:val="CDEC72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B73D0"/>
    <w:multiLevelType w:val="hybridMultilevel"/>
    <w:tmpl w:val="69AEA4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267DC"/>
    <w:multiLevelType w:val="hybridMultilevel"/>
    <w:tmpl w:val="FEE665E4"/>
    <w:lvl w:ilvl="0" w:tplc="0826D8E2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85F"/>
    <w:rsid w:val="000269D2"/>
    <w:rsid w:val="00046BD4"/>
    <w:rsid w:val="00055419"/>
    <w:rsid w:val="0009330D"/>
    <w:rsid w:val="00094BF2"/>
    <w:rsid w:val="00123B04"/>
    <w:rsid w:val="00175C93"/>
    <w:rsid w:val="001A032D"/>
    <w:rsid w:val="001D6AD9"/>
    <w:rsid w:val="00211CB8"/>
    <w:rsid w:val="00212354"/>
    <w:rsid w:val="00217DA2"/>
    <w:rsid w:val="00220465"/>
    <w:rsid w:val="00222618"/>
    <w:rsid w:val="00226EBA"/>
    <w:rsid w:val="00234B2F"/>
    <w:rsid w:val="00241DEC"/>
    <w:rsid w:val="002931E4"/>
    <w:rsid w:val="002B3A13"/>
    <w:rsid w:val="00310483"/>
    <w:rsid w:val="00314312"/>
    <w:rsid w:val="00320B8F"/>
    <w:rsid w:val="0037538D"/>
    <w:rsid w:val="003768C4"/>
    <w:rsid w:val="00383241"/>
    <w:rsid w:val="003B6D48"/>
    <w:rsid w:val="003E4336"/>
    <w:rsid w:val="003F63C2"/>
    <w:rsid w:val="004147A7"/>
    <w:rsid w:val="00424BC0"/>
    <w:rsid w:val="004305A6"/>
    <w:rsid w:val="00445876"/>
    <w:rsid w:val="00447052"/>
    <w:rsid w:val="004863CD"/>
    <w:rsid w:val="00495276"/>
    <w:rsid w:val="004C60F0"/>
    <w:rsid w:val="004F1F34"/>
    <w:rsid w:val="00536718"/>
    <w:rsid w:val="00556370"/>
    <w:rsid w:val="005641CC"/>
    <w:rsid w:val="00567262"/>
    <w:rsid w:val="00585911"/>
    <w:rsid w:val="005B6A30"/>
    <w:rsid w:val="005C4961"/>
    <w:rsid w:val="005C658E"/>
    <w:rsid w:val="005E2815"/>
    <w:rsid w:val="00610854"/>
    <w:rsid w:val="00617212"/>
    <w:rsid w:val="006326E7"/>
    <w:rsid w:val="006365D8"/>
    <w:rsid w:val="00655285"/>
    <w:rsid w:val="0066600D"/>
    <w:rsid w:val="006A6559"/>
    <w:rsid w:val="006B074D"/>
    <w:rsid w:val="006B4B89"/>
    <w:rsid w:val="00702B93"/>
    <w:rsid w:val="007741D9"/>
    <w:rsid w:val="007974CC"/>
    <w:rsid w:val="007D1BD2"/>
    <w:rsid w:val="0081036F"/>
    <w:rsid w:val="00817F0E"/>
    <w:rsid w:val="00851056"/>
    <w:rsid w:val="00855FC9"/>
    <w:rsid w:val="00892F7F"/>
    <w:rsid w:val="008A4ECE"/>
    <w:rsid w:val="008C1FE6"/>
    <w:rsid w:val="008F7777"/>
    <w:rsid w:val="009810AC"/>
    <w:rsid w:val="00984C62"/>
    <w:rsid w:val="009C03D1"/>
    <w:rsid w:val="009C098E"/>
    <w:rsid w:val="009E45AF"/>
    <w:rsid w:val="00A2302C"/>
    <w:rsid w:val="00A32F34"/>
    <w:rsid w:val="00A44748"/>
    <w:rsid w:val="00A61CC9"/>
    <w:rsid w:val="00A63AFB"/>
    <w:rsid w:val="00A6425C"/>
    <w:rsid w:val="00A9697B"/>
    <w:rsid w:val="00AC3409"/>
    <w:rsid w:val="00AF0B1C"/>
    <w:rsid w:val="00B67099"/>
    <w:rsid w:val="00B93A7B"/>
    <w:rsid w:val="00BE69A5"/>
    <w:rsid w:val="00C47ED4"/>
    <w:rsid w:val="00C55576"/>
    <w:rsid w:val="00C60F8D"/>
    <w:rsid w:val="00C72D13"/>
    <w:rsid w:val="00CD6EB0"/>
    <w:rsid w:val="00D05A87"/>
    <w:rsid w:val="00D05EF3"/>
    <w:rsid w:val="00D40342"/>
    <w:rsid w:val="00D65DF7"/>
    <w:rsid w:val="00D8085F"/>
    <w:rsid w:val="00DE045C"/>
    <w:rsid w:val="00DF6F46"/>
    <w:rsid w:val="00E37795"/>
    <w:rsid w:val="00E42196"/>
    <w:rsid w:val="00E56151"/>
    <w:rsid w:val="00E76B24"/>
    <w:rsid w:val="00F0222C"/>
    <w:rsid w:val="00F03AE0"/>
    <w:rsid w:val="00F04A6C"/>
    <w:rsid w:val="00F27515"/>
    <w:rsid w:val="00F47AAD"/>
    <w:rsid w:val="00F6419D"/>
    <w:rsid w:val="00F85D5B"/>
    <w:rsid w:val="00FA376F"/>
    <w:rsid w:val="00FB6E53"/>
    <w:rsid w:val="00FD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84D51BE-7A42-42AC-B7F0-4DA6A9A3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A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7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5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5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51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83241"/>
    <w:pPr>
      <w:ind w:left="720"/>
      <w:contextualSpacing/>
    </w:pPr>
  </w:style>
  <w:style w:type="paragraph" w:styleId="Revision">
    <w:name w:val="Revision"/>
    <w:hidden/>
    <w:uiPriority w:val="99"/>
    <w:semiHidden/>
    <w:rsid w:val="0038324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7F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.Registrar@ontario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AE228-7363-4DC0-8B1C-DA3BBDC7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4481</Characters>
  <Application>Microsoft Office Word</Application>
  <DocSecurity>4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MGS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McAnsh, Scott (MAG)</dc:creator>
  <cp:lastModifiedBy>Toye, Ben (MAG)</cp:lastModifiedBy>
  <cp:revision>2</cp:revision>
  <cp:lastPrinted>2019-05-24T18:47:00Z</cp:lastPrinted>
  <dcterms:created xsi:type="dcterms:W3CDTF">2019-07-08T12:35:00Z</dcterms:created>
  <dcterms:modified xsi:type="dcterms:W3CDTF">2019-07-08T12:35:00Z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Alex.Kappel@ontario.ca</vt:lpwstr>
  </property>
  <property fmtid="{D5CDD505-2E9C-101B-9397-08002B2CF9AE}" pid="5" name="MSIP_Label_034a106e-6316-442c-ad35-738afd673d2b_SetDate">
    <vt:lpwstr>2019-07-03T19:31:26.9247013Z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Extended_MSFT_Method">
    <vt:lpwstr>Automatic</vt:lpwstr>
  </property>
  <property fmtid="{D5CDD505-2E9C-101B-9397-08002B2CF9AE}" pid="9" name="Sensitivity">
    <vt:lpwstr>OPS - Unclassified Information</vt:lpwstr>
  </property>
</Properties>
</file>