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2BCD80E7" w:rsidR="008A5A50" w:rsidRDefault="008A5A50" w:rsidP="008A5A50">
      <w:r>
        <w:rPr>
          <w:noProof/>
        </w:rPr>
        <w:drawing>
          <wp:inline distT="0" distB="0" distL="0" distR="0" wp14:anchorId="65E96575" wp14:editId="45E621F4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D897" w14:textId="40D9D03A" w:rsidR="00CB71FC" w:rsidRPr="00CB71FC" w:rsidRDefault="00CB71FC" w:rsidP="00CB71FC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(Disponible en français)</w:t>
      </w:r>
    </w:p>
    <w:p w14:paraId="1D718A66" w14:textId="41D4C342" w:rsidR="00406823" w:rsidRPr="000E52E9" w:rsidRDefault="000E52E9" w:rsidP="008A5A50">
      <w:pPr>
        <w:pStyle w:val="Title"/>
        <w:jc w:val="center"/>
        <w:rPr>
          <w:szCs w:val="28"/>
        </w:rPr>
      </w:pPr>
      <w:r w:rsidRPr="000E52E9">
        <w:rPr>
          <w:szCs w:val="28"/>
        </w:rPr>
        <w:t>Notice of Written Hearing – Third Party Appeal</w:t>
      </w:r>
      <w:r w:rsidR="0037565D">
        <w:rPr>
          <w:szCs w:val="28"/>
        </w:rPr>
        <w:t xml:space="preserve"> Proceeding</w:t>
      </w:r>
      <w:r w:rsidRPr="000E52E9">
        <w:rPr>
          <w:szCs w:val="28"/>
        </w:rPr>
        <w:t xml:space="preserve"> ONLY</w:t>
      </w:r>
    </w:p>
    <w:p w14:paraId="32096CA3" w14:textId="4B36A47A" w:rsidR="008A5A50" w:rsidRPr="00CB71FC" w:rsidRDefault="000E52E9" w:rsidP="00CB71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52E9">
        <w:rPr>
          <w:rFonts w:ascii="Arial" w:hAnsi="Arial" w:cs="Arial"/>
          <w:b/>
          <w:bCs/>
          <w:sz w:val="28"/>
          <w:szCs w:val="28"/>
        </w:rPr>
        <w:t>Request to Apply Minutes of Settlement</w:t>
      </w:r>
    </w:p>
    <w:p w14:paraId="04D780C5" w14:textId="27C2232C" w:rsidR="006879FE" w:rsidRPr="00CB71FC" w:rsidRDefault="000E52E9" w:rsidP="00CB71FC">
      <w:pPr>
        <w:pStyle w:val="Heading1"/>
        <w:rPr>
          <w:sz w:val="28"/>
          <w:szCs w:val="28"/>
        </w:rPr>
      </w:pPr>
      <w:bookmarkStart w:id="0" w:name="P1134_149232"/>
      <w:bookmarkStart w:id="1" w:name="s39p1s1"/>
      <w:bookmarkStart w:id="2" w:name="BK51"/>
      <w:bookmarkEnd w:id="0"/>
      <w:bookmarkEnd w:id="1"/>
      <w:bookmarkEnd w:id="2"/>
      <w:r w:rsidRPr="00CB71FC">
        <w:rPr>
          <w:sz w:val="28"/>
          <w:szCs w:val="28"/>
        </w:rPr>
        <w:t xml:space="preserve">What is a </w:t>
      </w:r>
      <w:proofErr w:type="gramStart"/>
      <w:r w:rsidRPr="00CB71FC">
        <w:rPr>
          <w:sz w:val="28"/>
          <w:szCs w:val="28"/>
        </w:rPr>
        <w:t>Third Party</w:t>
      </w:r>
      <w:proofErr w:type="gramEnd"/>
      <w:r w:rsidRPr="00CB71FC">
        <w:rPr>
          <w:sz w:val="28"/>
          <w:szCs w:val="28"/>
        </w:rPr>
        <w:t xml:space="preserve"> Appeal?</w:t>
      </w:r>
    </w:p>
    <w:p w14:paraId="3BEFAAB4" w14:textId="77777777" w:rsidR="000E52E9" w:rsidRPr="000E52E9" w:rsidRDefault="000E52E9" w:rsidP="000E52E9">
      <w:pPr>
        <w:spacing w:before="240" w:after="240" w:line="278" w:lineRule="auto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A “Third Party Appeal Proceeding” is an appeal filed pursuant to s.40(1) of the Assessment Act where the appeal concerns the assessment of another person.  </w:t>
      </w:r>
    </w:p>
    <w:p w14:paraId="747484BE" w14:textId="77777777" w:rsidR="000E52E9" w:rsidRPr="000E52E9" w:rsidRDefault="000E52E9" w:rsidP="000E52E9">
      <w:pPr>
        <w:spacing w:before="240" w:after="240" w:line="278" w:lineRule="auto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Appellant in a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 may use this form where:</w:t>
      </w:r>
    </w:p>
    <w:p w14:paraId="3515668F" w14:textId="77777777" w:rsidR="000E52E9" w:rsidRPr="000E52E9" w:rsidRDefault="000E52E9" w:rsidP="000E52E9">
      <w:pPr>
        <w:numPr>
          <w:ilvl w:val="0"/>
          <w:numId w:val="10"/>
        </w:numPr>
        <w:spacing w:after="120" w:line="278" w:lineRule="auto"/>
        <w:ind w:left="714" w:hanging="357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Appellant has served the assessed person with its Notice of Appeal in compliance with s.40(9) of the Assessment </w:t>
      </w:r>
      <w:proofErr w:type="gramStart"/>
      <w:r w:rsidRPr="000E52E9">
        <w:rPr>
          <w:rFonts w:ascii="Arial" w:hAnsi="Arial" w:cs="Arial"/>
        </w:rPr>
        <w:t>Act;</w:t>
      </w:r>
      <w:proofErr w:type="gramEnd"/>
    </w:p>
    <w:p w14:paraId="110C4768" w14:textId="77777777" w:rsidR="000E52E9" w:rsidRPr="000E52E9" w:rsidRDefault="000E52E9" w:rsidP="000E52E9">
      <w:pPr>
        <w:numPr>
          <w:ilvl w:val="0"/>
          <w:numId w:val="10"/>
        </w:numPr>
        <w:spacing w:after="120" w:line="278" w:lineRule="auto"/>
        <w:ind w:left="714" w:hanging="357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assessed person has not responded to the Notice of Appeal, or otherwise communicated with the Appellant or any other party respecting the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Proceeding. This includes failing to serve a Statement of Response by the required due date in the Schedule of Events for the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Proceeding; and</w:t>
      </w:r>
    </w:p>
    <w:p w14:paraId="1F1C10E3" w14:textId="77777777" w:rsidR="000E52E9" w:rsidRPr="000E52E9" w:rsidRDefault="000E52E9" w:rsidP="000E52E9">
      <w:pPr>
        <w:numPr>
          <w:ilvl w:val="0"/>
          <w:numId w:val="10"/>
        </w:numPr>
        <w:spacing w:after="120" w:line="278" w:lineRule="auto"/>
        <w:ind w:left="714" w:hanging="357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Parties, other than the assessed person, have reached an agreement regarding settlement of the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Proceeding, and request that the Board issue a final decision in accordance with their agreement.</w:t>
      </w:r>
    </w:p>
    <w:p w14:paraId="2D603942" w14:textId="76032ADC" w:rsidR="00D818AE" w:rsidRDefault="00D818AE" w:rsidP="00286A9C">
      <w:pPr>
        <w:pStyle w:val="Heading1"/>
        <w:spacing w:before="0" w:beforeAutospacing="0" w:after="0" w:afterAutospacing="0"/>
        <w:rPr>
          <w:bCs w:val="0"/>
          <w:sz w:val="28"/>
          <w:szCs w:val="28"/>
          <w:lang w:eastAsia="en-US"/>
        </w:rPr>
      </w:pPr>
      <w:bookmarkStart w:id="3" w:name="_Toc223425537"/>
      <w:r w:rsidRPr="00245422">
        <w:rPr>
          <w:bCs w:val="0"/>
          <w:sz w:val="28"/>
          <w:szCs w:val="28"/>
          <w:lang w:eastAsia="en-US"/>
        </w:rPr>
        <w:t>What is the process</w:t>
      </w:r>
      <w:r w:rsidR="000E52E9">
        <w:rPr>
          <w:bCs w:val="0"/>
          <w:sz w:val="28"/>
          <w:szCs w:val="28"/>
          <w:lang w:eastAsia="en-US"/>
        </w:rPr>
        <w:t>?</w:t>
      </w:r>
    </w:p>
    <w:p w14:paraId="729040DD" w14:textId="231563BC" w:rsidR="000E52E9" w:rsidRDefault="000E52E9" w:rsidP="000E52E9"/>
    <w:p w14:paraId="66AC0FC9" w14:textId="5F422DE8" w:rsidR="000E52E9" w:rsidRPr="00955933" w:rsidRDefault="004C6616" w:rsidP="0041790A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55933">
        <w:rPr>
          <w:rFonts w:ascii="Arial" w:hAnsi="Arial" w:cs="Arial"/>
          <w:szCs w:val="22"/>
        </w:rPr>
        <w:t xml:space="preserve">Fill out the </w:t>
      </w:r>
      <w:r w:rsidR="000E52E9" w:rsidRPr="00955933">
        <w:rPr>
          <w:rFonts w:ascii="Arial" w:hAnsi="Arial" w:cs="Arial"/>
          <w:szCs w:val="22"/>
        </w:rPr>
        <w:t>Request for a Written Hearing – Third Party Appeals ONLY form</w:t>
      </w:r>
      <w:r w:rsidRPr="00955933">
        <w:rPr>
          <w:rFonts w:ascii="Arial" w:hAnsi="Arial" w:cs="Arial"/>
          <w:szCs w:val="22"/>
        </w:rPr>
        <w:t>.</w:t>
      </w:r>
      <w:r w:rsidR="00EE3C6C" w:rsidRPr="00955933">
        <w:rPr>
          <w:rFonts w:ascii="Arial" w:hAnsi="Arial" w:cs="Arial"/>
          <w:szCs w:val="22"/>
        </w:rPr>
        <w:t xml:space="preserve"> </w:t>
      </w:r>
      <w:r w:rsidR="00881650" w:rsidRPr="00955933">
        <w:rPr>
          <w:rFonts w:ascii="Arial" w:hAnsi="Arial" w:cs="Arial"/>
          <w:szCs w:val="22"/>
        </w:rPr>
        <w:t xml:space="preserve"> </w:t>
      </w:r>
    </w:p>
    <w:p w14:paraId="7904AC90" w14:textId="6223A11A" w:rsidR="00951F85" w:rsidRPr="00955933" w:rsidRDefault="00951F85" w:rsidP="00477F4C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 w:rsidRPr="00955933">
        <w:rPr>
          <w:rFonts w:ascii="Arial" w:hAnsi="Arial" w:cs="Arial"/>
          <w:szCs w:val="22"/>
        </w:rPr>
        <w:t xml:space="preserve">Attach all required information, </w:t>
      </w:r>
      <w:proofErr w:type="gramStart"/>
      <w:r w:rsidRPr="00955933">
        <w:rPr>
          <w:rFonts w:ascii="Arial" w:hAnsi="Arial" w:cs="Arial"/>
          <w:szCs w:val="22"/>
        </w:rPr>
        <w:t>documentation</w:t>
      </w:r>
      <w:proofErr w:type="gramEnd"/>
      <w:r w:rsidRPr="00955933">
        <w:rPr>
          <w:rFonts w:ascii="Arial" w:hAnsi="Arial" w:cs="Arial"/>
          <w:szCs w:val="22"/>
        </w:rPr>
        <w:t xml:space="preserve"> and a Sworn Affidavit (see affidavit information below)</w:t>
      </w:r>
    </w:p>
    <w:p w14:paraId="389239DD" w14:textId="73CF1DF8" w:rsidR="00EC48D7" w:rsidRPr="00955933" w:rsidRDefault="00CA6187" w:rsidP="0030619C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55933">
        <w:rPr>
          <w:rFonts w:ascii="Arial" w:hAnsi="Arial" w:cs="Arial"/>
          <w:szCs w:val="22"/>
        </w:rPr>
        <w:t>Send the</w:t>
      </w:r>
      <w:r w:rsidR="004C6616" w:rsidRPr="00955933">
        <w:rPr>
          <w:rFonts w:ascii="Arial" w:hAnsi="Arial" w:cs="Arial"/>
          <w:szCs w:val="22"/>
        </w:rPr>
        <w:t xml:space="preserve"> form</w:t>
      </w:r>
      <w:r w:rsidRPr="00955933">
        <w:rPr>
          <w:rFonts w:ascii="Arial" w:hAnsi="Arial" w:cs="Arial"/>
          <w:szCs w:val="22"/>
        </w:rPr>
        <w:t xml:space="preserve"> </w:t>
      </w:r>
      <w:r w:rsidR="000E52E9" w:rsidRPr="00955933">
        <w:rPr>
          <w:rFonts w:ascii="Arial" w:hAnsi="Arial" w:cs="Arial"/>
          <w:szCs w:val="22"/>
        </w:rPr>
        <w:t>to the ARB Email address</w:t>
      </w:r>
      <w:r w:rsidR="00B12025" w:rsidRPr="00955933">
        <w:rPr>
          <w:rFonts w:ascii="Arial" w:hAnsi="Arial" w:cs="Arial"/>
          <w:szCs w:val="22"/>
        </w:rPr>
        <w:t>, copying all other parties</w:t>
      </w:r>
      <w:r w:rsidR="000E52E9" w:rsidRPr="00955933">
        <w:rPr>
          <w:rFonts w:ascii="Arial" w:hAnsi="Arial" w:cs="Arial"/>
          <w:szCs w:val="22"/>
        </w:rPr>
        <w:t>:</w:t>
      </w:r>
    </w:p>
    <w:p w14:paraId="5619C353" w14:textId="2CD6BCE3" w:rsidR="00286A9C" w:rsidRDefault="00EC48D7" w:rsidP="00CB71FC">
      <w:pPr>
        <w:spacing w:after="240"/>
        <w:ind w:left="1440"/>
      </w:pPr>
      <w:r>
        <w:rPr>
          <w:rFonts w:ascii="Arial" w:hAnsi="Arial" w:cs="Arial"/>
          <w:szCs w:val="22"/>
        </w:rPr>
        <w:t xml:space="preserve">Email: </w:t>
      </w:r>
      <w:hyperlink r:id="rId9" w:history="1">
        <w:r w:rsidR="000E52E9" w:rsidRPr="00EE6312">
          <w:rPr>
            <w:rStyle w:val="Hyperlink"/>
            <w:sz w:val="24"/>
            <w:szCs w:val="22"/>
          </w:rPr>
          <w:t>ARB.Registrar@ontario.ca</w:t>
        </w:r>
      </w:hyperlink>
      <w:r w:rsidR="000E52E9">
        <w:rPr>
          <w:rFonts w:ascii="Arial" w:hAnsi="Arial" w:cs="Arial"/>
          <w:b/>
          <w:bCs/>
          <w:szCs w:val="22"/>
        </w:rPr>
        <w:t xml:space="preserve"> </w:t>
      </w:r>
    </w:p>
    <w:p w14:paraId="3567390B" w14:textId="77777777" w:rsidR="008435A9" w:rsidRPr="00245422" w:rsidRDefault="00DB55D4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>What happens after the ARB receives my</w:t>
      </w:r>
      <w:r w:rsidR="00654A37" w:rsidRPr="00245422">
        <w:rPr>
          <w:sz w:val="28"/>
          <w:szCs w:val="28"/>
        </w:rPr>
        <w:t xml:space="preserve"> form</w:t>
      </w:r>
      <w:r w:rsidRPr="00245422">
        <w:rPr>
          <w:sz w:val="28"/>
          <w:szCs w:val="28"/>
        </w:rPr>
        <w:t>?</w:t>
      </w:r>
    </w:p>
    <w:p w14:paraId="5404386E" w14:textId="77777777" w:rsidR="00286A9C" w:rsidRDefault="00286A9C" w:rsidP="00286A9C">
      <w:pPr>
        <w:rPr>
          <w:rFonts w:ascii="Arial" w:hAnsi="Arial" w:cs="Arial"/>
        </w:rPr>
      </w:pPr>
    </w:p>
    <w:p w14:paraId="2F01E1A7" w14:textId="1EE97CF4" w:rsidR="00286A9C" w:rsidRPr="00CB71FC" w:rsidRDefault="00DD1142" w:rsidP="00CB71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ARB </w:t>
      </w:r>
      <w:r w:rsidR="000E52E9">
        <w:rPr>
          <w:rFonts w:ascii="Arial" w:hAnsi="Arial" w:cs="Arial"/>
        </w:rPr>
        <w:t xml:space="preserve">will review to ensure that the form has all required information, and the </w:t>
      </w:r>
      <w:r w:rsidR="00B12025">
        <w:rPr>
          <w:rFonts w:ascii="Arial" w:hAnsi="Arial" w:cs="Arial"/>
        </w:rPr>
        <w:t xml:space="preserve">required </w:t>
      </w:r>
      <w:r w:rsidR="000E52E9">
        <w:rPr>
          <w:rFonts w:ascii="Arial" w:hAnsi="Arial" w:cs="Arial"/>
        </w:rPr>
        <w:t>documentation is attached.  Once it has been reviewed it will be forwarded to an ARB Member for review and approval to schedule a Written Hearing. Once scheduled you will receive a Notice of Hearing.</w:t>
      </w:r>
    </w:p>
    <w:p w14:paraId="763A7D82" w14:textId="170B6014" w:rsidR="008435A9" w:rsidRPr="00245422" w:rsidRDefault="00C67C34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 xml:space="preserve">How </w:t>
      </w:r>
      <w:r w:rsidR="008435A9" w:rsidRPr="00245422">
        <w:rPr>
          <w:sz w:val="28"/>
          <w:szCs w:val="28"/>
        </w:rPr>
        <w:t>long wi</w:t>
      </w:r>
      <w:r w:rsidR="00E36528" w:rsidRPr="00245422">
        <w:rPr>
          <w:sz w:val="28"/>
          <w:szCs w:val="28"/>
        </w:rPr>
        <w:t xml:space="preserve">ll it take to </w:t>
      </w:r>
      <w:r w:rsidR="000E52E9">
        <w:rPr>
          <w:sz w:val="28"/>
          <w:szCs w:val="28"/>
        </w:rPr>
        <w:t>have a written hearing scheduled</w:t>
      </w:r>
      <w:r w:rsidR="008435A9" w:rsidRPr="00245422">
        <w:rPr>
          <w:sz w:val="28"/>
          <w:szCs w:val="28"/>
        </w:rPr>
        <w:t>?</w:t>
      </w:r>
    </w:p>
    <w:p w14:paraId="3CEDED1F" w14:textId="77777777" w:rsidR="00286A9C" w:rsidRDefault="00286A9C" w:rsidP="00286A9C">
      <w:pPr>
        <w:rPr>
          <w:rFonts w:ascii="Arial" w:hAnsi="Arial" w:cs="Arial"/>
          <w:color w:val="000000"/>
        </w:rPr>
      </w:pPr>
    </w:p>
    <w:p w14:paraId="2E7A1701" w14:textId="4E4739BE" w:rsidR="00955933" w:rsidRDefault="00AD7A90" w:rsidP="00CB71FC">
      <w:pPr>
        <w:pStyle w:val="Heading1"/>
        <w:spacing w:before="0" w:beforeAutospacing="0" w:after="240" w:afterAutospacing="0"/>
        <w:rPr>
          <w:b w:val="0"/>
          <w:bCs w:val="0"/>
          <w:sz w:val="28"/>
          <w:szCs w:val="28"/>
        </w:rPr>
      </w:pPr>
      <w:r w:rsidRPr="00616F7C">
        <w:rPr>
          <w:b w:val="0"/>
          <w:color w:val="000000"/>
        </w:rPr>
        <w:t xml:space="preserve">The ARB tries to respond in a timely manner.  </w:t>
      </w:r>
      <w:r w:rsidR="000E52E9">
        <w:rPr>
          <w:b w:val="0"/>
          <w:color w:val="000000"/>
        </w:rPr>
        <w:t>You should receive your Notice of Hearing within two to six weeks.</w:t>
      </w:r>
    </w:p>
    <w:p w14:paraId="6ECE835F" w14:textId="76B5909F" w:rsidR="00951F85" w:rsidRDefault="00951F85" w:rsidP="00951F8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51F85">
        <w:rPr>
          <w:rFonts w:ascii="Arial" w:hAnsi="Arial" w:cs="Arial"/>
          <w:b/>
          <w:bCs/>
          <w:sz w:val="28"/>
          <w:szCs w:val="28"/>
        </w:rPr>
        <w:lastRenderedPageBreak/>
        <w:t xml:space="preserve">What information should be included in your </w:t>
      </w:r>
      <w:proofErr w:type="gramStart"/>
      <w:r w:rsidRPr="00951F85">
        <w:rPr>
          <w:rFonts w:ascii="Arial" w:hAnsi="Arial" w:cs="Arial"/>
          <w:b/>
          <w:bCs/>
          <w:sz w:val="28"/>
          <w:szCs w:val="28"/>
        </w:rPr>
        <w:t>sworn affidavit</w:t>
      </w:r>
      <w:proofErr w:type="gramEnd"/>
      <w:r w:rsidRPr="00951F85">
        <w:rPr>
          <w:rFonts w:ascii="Arial" w:hAnsi="Arial" w:cs="Arial"/>
          <w:b/>
          <w:bCs/>
          <w:sz w:val="28"/>
          <w:szCs w:val="28"/>
        </w:rPr>
        <w:t>?</w:t>
      </w:r>
    </w:p>
    <w:p w14:paraId="7CCD0CE2" w14:textId="3BB3764F" w:rsidR="00951F85" w:rsidRDefault="00951F85" w:rsidP="00951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Appellant is required to attach to this Form </w:t>
      </w:r>
      <w:proofErr w:type="gramStart"/>
      <w:r>
        <w:rPr>
          <w:rFonts w:ascii="Arial" w:hAnsi="Arial" w:cs="Arial"/>
        </w:rPr>
        <w:t>a sworn affidavit</w:t>
      </w:r>
      <w:proofErr w:type="gramEnd"/>
      <w:r>
        <w:rPr>
          <w:rFonts w:ascii="Arial" w:hAnsi="Arial" w:cs="Arial"/>
        </w:rPr>
        <w:t xml:space="preserve"> providing the following information:</w:t>
      </w:r>
    </w:p>
    <w:p w14:paraId="61742E17" w14:textId="77777777" w:rsidR="00951F85" w:rsidRDefault="00951F85" w:rsidP="00951F85">
      <w:pPr>
        <w:pStyle w:val="ListParagraph"/>
        <w:numPr>
          <w:ilvl w:val="0"/>
          <w:numId w:val="11"/>
        </w:numPr>
        <w:spacing w:line="276" w:lineRule="auto"/>
        <w:ind w:left="1077" w:hanging="357"/>
        <w:contextualSpacing w:val="0"/>
        <w:rPr>
          <w:rFonts w:ascii="Arial" w:hAnsi="Arial" w:cs="Arial"/>
        </w:rPr>
      </w:pPr>
      <w:r w:rsidRPr="009E0659">
        <w:rPr>
          <w:rFonts w:ascii="Arial" w:hAnsi="Arial" w:cs="Arial"/>
        </w:rPr>
        <w:t xml:space="preserve">A statement confirming the date that the Appellant served its Notice of Appeal on the </w:t>
      </w:r>
      <w:r>
        <w:rPr>
          <w:rFonts w:ascii="Arial" w:hAnsi="Arial" w:cs="Arial"/>
        </w:rPr>
        <w:t>a</w:t>
      </w:r>
      <w:r w:rsidRPr="009E0659">
        <w:rPr>
          <w:rFonts w:ascii="Arial" w:hAnsi="Arial" w:cs="Arial"/>
        </w:rPr>
        <w:t xml:space="preserve">ssessed </w:t>
      </w:r>
      <w:proofErr w:type="gramStart"/>
      <w:r>
        <w:rPr>
          <w:rFonts w:ascii="Arial" w:hAnsi="Arial" w:cs="Arial"/>
        </w:rPr>
        <w:t>p</w:t>
      </w:r>
      <w:r w:rsidRPr="009E0659">
        <w:rPr>
          <w:rFonts w:ascii="Arial" w:hAnsi="Arial" w:cs="Arial"/>
        </w:rPr>
        <w:t>erson;</w:t>
      </w:r>
      <w:proofErr w:type="gramEnd"/>
    </w:p>
    <w:p w14:paraId="41190917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confirming the method of service of its Notice of </w:t>
      </w:r>
      <w:proofErr w:type="gramStart"/>
      <w:r>
        <w:rPr>
          <w:rFonts w:ascii="Arial" w:hAnsi="Arial" w:cs="Arial"/>
        </w:rPr>
        <w:t>Appeal;</w:t>
      </w:r>
      <w:proofErr w:type="gramEnd"/>
    </w:p>
    <w:p w14:paraId="787E7DEF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Where proof of service has been provided by the delivery service provider, attach a copy of this proof of service as an Exhibit to the Affidavit.</w:t>
      </w:r>
    </w:p>
    <w:p w14:paraId="27B23E13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Where proof of service has not been provided by the delivery service provider, a statement that the delivered Notice of Appeal has not been returned to the Appellant, and that Appellant has not received any communication from the assessed person regarding the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Appeal Proceeding.</w:t>
      </w:r>
    </w:p>
    <w:p w14:paraId="7C04294E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that the Appellant has made enquiries of MPAC regarding whether MPAC has received any communication from the assessed person regarding the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Appeal Proceeding, and a description of information MPAC has provided in response to these enquiries.  This should include whether MPAC received a Statement of Response from the assessed person. Where MPAC has provided email confirmation of this information, attach the email as an Exhibit to the Affidavit.</w:t>
      </w:r>
    </w:p>
    <w:p w14:paraId="46B17D56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confirming the date that the Appellant served its Statement of Issues on the assessed person, providing particulars of service in the same manner as described in points, 2, 3 and 4 above. </w:t>
      </w:r>
    </w:p>
    <w:p w14:paraId="22222A94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confirming that the Parties, other than the assessed person, have reached an agreement regarding settlement of the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Appeal Proceeding (Where the Parties have prepared a written settlement agreement, attach a copy of the settlement agreement as an Exhibit to the Affidavit).</w:t>
      </w:r>
    </w:p>
    <w:p w14:paraId="13C83D8B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providing the precise terms to be included in the Board’s Decision. 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55933" w14:paraId="359F41A4" w14:textId="77777777" w:rsidTr="00FB3CA2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D89E2F" w14:textId="77777777" w:rsidR="00955933" w:rsidRDefault="00955933" w:rsidP="00FB3CA2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25262E88" wp14:editId="44D3E1A9">
                  <wp:extent cx="1318260" cy="1135380"/>
                  <wp:effectExtent l="0" t="0" r="0" b="7620"/>
                  <wp:docPr id="2" name="Picture 2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B40" w14:textId="77777777" w:rsidR="00955933" w:rsidRDefault="00955933" w:rsidP="00FB3CA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46A2FFB5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safety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and licensing sectors.</w:t>
            </w:r>
          </w:p>
          <w:p w14:paraId="7638AD86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7765E7A9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1B753383" w14:textId="77777777" w:rsidR="00955933" w:rsidRDefault="00955933" w:rsidP="00FB3CA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A45D877" w14:textId="77777777" w:rsidR="00955933" w:rsidRDefault="00955933" w:rsidP="00FB3CA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648E500E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42A2089F" w14:textId="77777777" w:rsidR="00955933" w:rsidRDefault="00955933" w:rsidP="00FB3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5D3185F0" w14:textId="77777777" w:rsidR="00955933" w:rsidRDefault="00955933" w:rsidP="00FB3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1" w:history="1">
              <w:r w:rsidRPr="001729F4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4FEC41A5" w14:textId="77777777" w:rsidR="00955933" w:rsidRDefault="00955933" w:rsidP="00FB3CA2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39A5FD3B" w14:textId="77777777" w:rsidR="00955933" w:rsidRDefault="00955933" w:rsidP="00955933">
      <w:pPr>
        <w:rPr>
          <w:rFonts w:ascii="Arial" w:hAnsi="Arial" w:cs="Arial"/>
          <w:lang w:val="en-US"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5"/>
      </w:tblGrid>
      <w:tr w:rsidR="00955933" w:rsidRPr="0037565D" w14:paraId="0448E402" w14:textId="77777777" w:rsidTr="00FB3CA2">
        <w:trPr>
          <w:trHeight w:val="352"/>
        </w:trPr>
        <w:tc>
          <w:tcPr>
            <w:tcW w:w="5508" w:type="dxa"/>
            <w:hideMark/>
          </w:tcPr>
          <w:p w14:paraId="2FF0934E" w14:textId="77777777" w:rsidR="00955933" w:rsidRDefault="00955933" w:rsidP="00FB3CA2">
            <w:pPr>
              <w:pStyle w:val="NoSpacing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DD6544">
              <w:rPr>
                <w:rFonts w:ascii="Arial" w:hAnsi="Arial" w:cs="Arial"/>
                <w:sz w:val="16"/>
              </w:rPr>
              <w:t>ISBN 0-7794-5789-X / © Queen’s printer for Ontario, 2017</w:t>
            </w:r>
          </w:p>
        </w:tc>
        <w:tc>
          <w:tcPr>
            <w:tcW w:w="5508" w:type="dxa"/>
            <w:hideMark/>
          </w:tcPr>
          <w:p w14:paraId="3B4FED21" w14:textId="7CB2287F" w:rsidR="00955933" w:rsidRDefault="00955933" w:rsidP="00FB3CA2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005FC9">
              <w:rPr>
                <w:rFonts w:ascii="Arial" w:hAnsi="Arial" w:cs="Arial"/>
                <w:sz w:val="16"/>
                <w:lang w:val="fr-CA"/>
              </w:rPr>
              <w:t xml:space="preserve">Disponible en français: </w:t>
            </w:r>
            <w:r w:rsidR="00CB71FC">
              <w:rPr>
                <w:rFonts w:ascii="Arial" w:hAnsi="Arial" w:cs="Arial"/>
                <w:sz w:val="16"/>
                <w:lang w:val="fr-CA"/>
              </w:rPr>
              <w:t xml:space="preserve">Avis d’audience écrite – Appels d’un tiers </w:t>
            </w:r>
            <w:r w:rsidR="00E17BDE">
              <w:rPr>
                <w:rFonts w:ascii="Arial" w:hAnsi="Arial" w:cs="Arial"/>
                <w:sz w:val="16"/>
                <w:lang w:val="fr-CA"/>
              </w:rPr>
              <w:t>SEULEMENT</w:t>
            </w:r>
          </w:p>
        </w:tc>
      </w:tr>
    </w:tbl>
    <w:p w14:paraId="7B5FCC1B" w14:textId="77777777" w:rsidR="00955933" w:rsidRPr="00487C51" w:rsidRDefault="00955933" w:rsidP="009559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fr-CA" w:eastAsia="en-CA"/>
        </w:rPr>
      </w:pPr>
    </w:p>
    <w:p w14:paraId="5D9D241A" w14:textId="77777777" w:rsidR="00951F85" w:rsidRPr="000265C9" w:rsidRDefault="00951F85">
      <w:pPr>
        <w:rPr>
          <w:lang w:val="fr-CA" w:eastAsia="en-CA"/>
        </w:rPr>
      </w:pPr>
    </w:p>
    <w:p w14:paraId="03A48F1E" w14:textId="641AB5F4" w:rsidR="00D72A5B" w:rsidRPr="000265C9" w:rsidRDefault="00D72A5B">
      <w:pPr>
        <w:rPr>
          <w:lang w:val="fr-CA" w:eastAsia="en-CA"/>
        </w:rPr>
      </w:pPr>
    </w:p>
    <w:bookmarkEnd w:id="3"/>
    <w:sectPr w:rsidR="00D72A5B" w:rsidRPr="000265C9" w:rsidSect="00453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D021" w14:textId="77777777" w:rsidR="000D5C20" w:rsidRDefault="000D5C20">
      <w:r>
        <w:separator/>
      </w:r>
    </w:p>
  </w:endnote>
  <w:endnote w:type="continuationSeparator" w:id="0">
    <w:p w14:paraId="37E68C08" w14:textId="77777777" w:rsidR="000D5C20" w:rsidRDefault="000D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7670" w14:textId="77777777" w:rsidR="00820B23" w:rsidRDefault="0082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7777777" w:rsidR="0004784C" w:rsidRPr="00885714" w:rsidRDefault="0004784C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Pr="00885714">
      <w:rPr>
        <w:rFonts w:ascii="Arial" w:hAnsi="Arial" w:cs="Arial"/>
        <w:sz w:val="20"/>
        <w:szCs w:val="20"/>
      </w:rPr>
      <w:t xml:space="preserve">B </w:t>
    </w:r>
    <w:r w:rsidR="00EC48D7">
      <w:rPr>
        <w:rFonts w:ascii="Arial" w:hAnsi="Arial" w:cs="Arial"/>
        <w:sz w:val="20"/>
        <w:szCs w:val="20"/>
      </w:rPr>
      <w:t>Information Sheet</w:t>
    </w:r>
    <w:r w:rsidRPr="00885714">
      <w:rPr>
        <w:rFonts w:ascii="Arial" w:hAnsi="Arial" w:cs="Arial"/>
        <w:sz w:val="20"/>
        <w:szCs w:val="20"/>
      </w:rPr>
      <w:tab/>
    </w:r>
    <w:r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  <w:r w:rsidRPr="00885714">
      <w:rPr>
        <w:rStyle w:val="PageNumber"/>
        <w:rFonts w:ascii="Arial" w:hAnsi="Arial" w:cs="Arial"/>
        <w:sz w:val="20"/>
        <w:szCs w:val="20"/>
      </w:rPr>
      <w:t xml:space="preserve"> of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0B4A" w14:textId="77777777" w:rsidR="00820B23" w:rsidRDefault="0082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AC47" w14:textId="77777777" w:rsidR="000D5C20" w:rsidRDefault="000D5C20">
      <w:r>
        <w:separator/>
      </w:r>
    </w:p>
  </w:footnote>
  <w:footnote w:type="continuationSeparator" w:id="0">
    <w:p w14:paraId="3B395DC3" w14:textId="77777777" w:rsidR="000D5C20" w:rsidRDefault="000D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4AE6" w14:textId="77777777" w:rsidR="00820B23" w:rsidRDefault="0082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85C4" w14:textId="77777777" w:rsidR="00820B23" w:rsidRDefault="00820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AE0E" w14:textId="77777777" w:rsidR="00820B23" w:rsidRDefault="00820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6F9C48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416F9"/>
    <w:multiLevelType w:val="hybridMultilevel"/>
    <w:tmpl w:val="EE362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88F"/>
    <w:multiLevelType w:val="hybridMultilevel"/>
    <w:tmpl w:val="F260D96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2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265C9"/>
    <w:rsid w:val="00031E47"/>
    <w:rsid w:val="00041771"/>
    <w:rsid w:val="0004784C"/>
    <w:rsid w:val="00076A19"/>
    <w:rsid w:val="00084EA7"/>
    <w:rsid w:val="00085802"/>
    <w:rsid w:val="00094777"/>
    <w:rsid w:val="000C4586"/>
    <w:rsid w:val="000D0CF1"/>
    <w:rsid w:val="000D3C80"/>
    <w:rsid w:val="000D5C20"/>
    <w:rsid w:val="000E076C"/>
    <w:rsid w:val="000E52E9"/>
    <w:rsid w:val="00102AD6"/>
    <w:rsid w:val="001313E9"/>
    <w:rsid w:val="00135E76"/>
    <w:rsid w:val="001361A9"/>
    <w:rsid w:val="0014579B"/>
    <w:rsid w:val="00147BB2"/>
    <w:rsid w:val="001511FD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72F4"/>
    <w:rsid w:val="002021D5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67497"/>
    <w:rsid w:val="00370E47"/>
    <w:rsid w:val="003755B3"/>
    <w:rsid w:val="0037565D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6BA5"/>
    <w:rsid w:val="00426CC6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37BF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52B7"/>
    <w:rsid w:val="00537CDA"/>
    <w:rsid w:val="00545926"/>
    <w:rsid w:val="00547328"/>
    <w:rsid w:val="00550D8A"/>
    <w:rsid w:val="005538BC"/>
    <w:rsid w:val="00560D57"/>
    <w:rsid w:val="00560DC3"/>
    <w:rsid w:val="00575961"/>
    <w:rsid w:val="005A29A8"/>
    <w:rsid w:val="005A2AAE"/>
    <w:rsid w:val="005B6263"/>
    <w:rsid w:val="005C03BF"/>
    <w:rsid w:val="005C2C78"/>
    <w:rsid w:val="005D019F"/>
    <w:rsid w:val="005D18E2"/>
    <w:rsid w:val="005D4E2C"/>
    <w:rsid w:val="005D6BB0"/>
    <w:rsid w:val="005E3B04"/>
    <w:rsid w:val="005E7F29"/>
    <w:rsid w:val="005F5EF6"/>
    <w:rsid w:val="00612B0E"/>
    <w:rsid w:val="00616F7C"/>
    <w:rsid w:val="0062328D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B1001"/>
    <w:rsid w:val="006C4CAA"/>
    <w:rsid w:val="006D10AA"/>
    <w:rsid w:val="006D3BF9"/>
    <w:rsid w:val="006F40A6"/>
    <w:rsid w:val="006F7539"/>
    <w:rsid w:val="006F7D5B"/>
    <w:rsid w:val="0070107E"/>
    <w:rsid w:val="0070225C"/>
    <w:rsid w:val="00724430"/>
    <w:rsid w:val="00737532"/>
    <w:rsid w:val="00741CCA"/>
    <w:rsid w:val="00742527"/>
    <w:rsid w:val="00765E82"/>
    <w:rsid w:val="007679AE"/>
    <w:rsid w:val="0077263C"/>
    <w:rsid w:val="00773C69"/>
    <w:rsid w:val="00773D1B"/>
    <w:rsid w:val="007856A1"/>
    <w:rsid w:val="0079153C"/>
    <w:rsid w:val="007A21BD"/>
    <w:rsid w:val="007A7B5F"/>
    <w:rsid w:val="007D19CC"/>
    <w:rsid w:val="007E15D4"/>
    <w:rsid w:val="007E2A15"/>
    <w:rsid w:val="007E5440"/>
    <w:rsid w:val="007E664F"/>
    <w:rsid w:val="007E754F"/>
    <w:rsid w:val="008073B3"/>
    <w:rsid w:val="00813E58"/>
    <w:rsid w:val="00820B23"/>
    <w:rsid w:val="0084241B"/>
    <w:rsid w:val="008435A9"/>
    <w:rsid w:val="00847DD0"/>
    <w:rsid w:val="00851CF7"/>
    <w:rsid w:val="008756BC"/>
    <w:rsid w:val="008765F1"/>
    <w:rsid w:val="00881650"/>
    <w:rsid w:val="00885714"/>
    <w:rsid w:val="00890BFE"/>
    <w:rsid w:val="00891E14"/>
    <w:rsid w:val="008A500B"/>
    <w:rsid w:val="008A5A50"/>
    <w:rsid w:val="008C72DD"/>
    <w:rsid w:val="008C784B"/>
    <w:rsid w:val="009271FB"/>
    <w:rsid w:val="0093035C"/>
    <w:rsid w:val="0093463F"/>
    <w:rsid w:val="009420D6"/>
    <w:rsid w:val="009439C9"/>
    <w:rsid w:val="00951F85"/>
    <w:rsid w:val="00955933"/>
    <w:rsid w:val="009629B2"/>
    <w:rsid w:val="00965E0B"/>
    <w:rsid w:val="00971187"/>
    <w:rsid w:val="00974FC9"/>
    <w:rsid w:val="00984240"/>
    <w:rsid w:val="00984994"/>
    <w:rsid w:val="009A44CC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F39"/>
    <w:rsid w:val="00A96D4B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12025"/>
    <w:rsid w:val="00B20BDB"/>
    <w:rsid w:val="00B3224B"/>
    <w:rsid w:val="00B40D4E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D0EA3"/>
    <w:rsid w:val="00BF631D"/>
    <w:rsid w:val="00C07E5C"/>
    <w:rsid w:val="00C12A6D"/>
    <w:rsid w:val="00C1397C"/>
    <w:rsid w:val="00C13B9A"/>
    <w:rsid w:val="00C32499"/>
    <w:rsid w:val="00C36F4C"/>
    <w:rsid w:val="00C437EB"/>
    <w:rsid w:val="00C50EB3"/>
    <w:rsid w:val="00C511F6"/>
    <w:rsid w:val="00C51D29"/>
    <w:rsid w:val="00C67C34"/>
    <w:rsid w:val="00C754CE"/>
    <w:rsid w:val="00C86063"/>
    <w:rsid w:val="00CA6187"/>
    <w:rsid w:val="00CB2C77"/>
    <w:rsid w:val="00CB71FC"/>
    <w:rsid w:val="00CC1005"/>
    <w:rsid w:val="00CC5C00"/>
    <w:rsid w:val="00CD6973"/>
    <w:rsid w:val="00CE2631"/>
    <w:rsid w:val="00CE393D"/>
    <w:rsid w:val="00CE6D6F"/>
    <w:rsid w:val="00CF489A"/>
    <w:rsid w:val="00D01323"/>
    <w:rsid w:val="00D13C8C"/>
    <w:rsid w:val="00D16830"/>
    <w:rsid w:val="00D2402D"/>
    <w:rsid w:val="00D33F20"/>
    <w:rsid w:val="00D55113"/>
    <w:rsid w:val="00D67FDA"/>
    <w:rsid w:val="00D72A5B"/>
    <w:rsid w:val="00D73B8A"/>
    <w:rsid w:val="00D818AE"/>
    <w:rsid w:val="00DA36AC"/>
    <w:rsid w:val="00DB55D4"/>
    <w:rsid w:val="00DB574D"/>
    <w:rsid w:val="00DD1142"/>
    <w:rsid w:val="00DD6089"/>
    <w:rsid w:val="00DE2EE7"/>
    <w:rsid w:val="00DE4D88"/>
    <w:rsid w:val="00DF6A8D"/>
    <w:rsid w:val="00E00793"/>
    <w:rsid w:val="00E015A7"/>
    <w:rsid w:val="00E02A47"/>
    <w:rsid w:val="00E04086"/>
    <w:rsid w:val="00E17BDE"/>
    <w:rsid w:val="00E23092"/>
    <w:rsid w:val="00E2690C"/>
    <w:rsid w:val="00E36528"/>
    <w:rsid w:val="00E6200C"/>
    <w:rsid w:val="00E70AEF"/>
    <w:rsid w:val="00E76D19"/>
    <w:rsid w:val="00E94B5C"/>
    <w:rsid w:val="00EA1B62"/>
    <w:rsid w:val="00EA6B9E"/>
    <w:rsid w:val="00EC3C89"/>
    <w:rsid w:val="00EC48D7"/>
    <w:rsid w:val="00EC5EC3"/>
    <w:rsid w:val="00ED3D0F"/>
    <w:rsid w:val="00ED7E21"/>
    <w:rsid w:val="00EE3C6C"/>
    <w:rsid w:val="00EE62D3"/>
    <w:rsid w:val="00EF0B11"/>
    <w:rsid w:val="00EF0C20"/>
    <w:rsid w:val="00F031F6"/>
    <w:rsid w:val="00F11F12"/>
    <w:rsid w:val="00F35AEB"/>
    <w:rsid w:val="00F53E46"/>
    <w:rsid w:val="00F622D3"/>
    <w:rsid w:val="00F66418"/>
    <w:rsid w:val="00F6783A"/>
    <w:rsid w:val="00F77637"/>
    <w:rsid w:val="00F852DA"/>
    <w:rsid w:val="00F96DB2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3789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4460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5</cp:revision>
  <cp:lastPrinted>2021-10-07T15:57:00Z</cp:lastPrinted>
  <dcterms:created xsi:type="dcterms:W3CDTF">2023-06-13T14:31:00Z</dcterms:created>
  <dcterms:modified xsi:type="dcterms:W3CDTF">2023-06-19T16:16:00Z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