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EB99" w14:textId="4627C9D7" w:rsidR="000E39BB" w:rsidRDefault="000E39BB" w:rsidP="000E39BB">
      <w:pPr>
        <w:rPr>
          <w:rStyle w:val="TitleChar"/>
        </w:rPr>
      </w:pPr>
      <w:r>
        <w:rPr>
          <w:noProof/>
        </w:rPr>
        <w:drawing>
          <wp:inline distT="0" distB="0" distL="0" distR="0" wp14:anchorId="1D0AAEC9" wp14:editId="3DE00CD7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6F50" w14:textId="77777777" w:rsidR="0037401C" w:rsidRPr="00C0656C" w:rsidRDefault="0037401C" w:rsidP="0037401C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0846E461" w14:textId="458B79B5" w:rsidR="00422CE4" w:rsidRPr="008758EA" w:rsidRDefault="00E95D8B" w:rsidP="000E39BB">
      <w:pPr>
        <w:jc w:val="center"/>
        <w:rPr>
          <w:rStyle w:val="TitleChar"/>
        </w:rPr>
      </w:pPr>
      <w:r w:rsidRPr="00E95D8B">
        <w:rPr>
          <w:rStyle w:val="TitleChar"/>
        </w:rPr>
        <w:t xml:space="preserve">Requesting </w:t>
      </w:r>
      <w:r>
        <w:rPr>
          <w:rStyle w:val="TitleChar"/>
        </w:rPr>
        <w:t>a Review of an ARB D</w:t>
      </w:r>
      <w:r w:rsidR="00D04F73" w:rsidRPr="008758EA">
        <w:rPr>
          <w:rStyle w:val="TitleChar"/>
        </w:rPr>
        <w:t>ecision</w:t>
      </w:r>
    </w:p>
    <w:p w14:paraId="22B407E0" w14:textId="77777777" w:rsidR="000B245B" w:rsidRDefault="002234DD" w:rsidP="00373168">
      <w:pPr>
        <w:autoSpaceDE w:val="0"/>
        <w:autoSpaceDN w:val="0"/>
        <w:adjustRightInd w:val="0"/>
        <w:spacing w:before="240"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disagree with an </w:t>
      </w:r>
      <w:r w:rsidR="008461A1">
        <w:rPr>
          <w:rFonts w:ascii="Arial" w:hAnsi="Arial" w:cs="Arial"/>
          <w:lang w:val="en-US"/>
        </w:rPr>
        <w:t>Assessment Review Board (</w:t>
      </w:r>
      <w:r>
        <w:rPr>
          <w:rFonts w:ascii="Arial" w:hAnsi="Arial" w:cs="Arial"/>
          <w:lang w:val="en-US"/>
        </w:rPr>
        <w:t>ARB</w:t>
      </w:r>
      <w:r w:rsidR="008461A1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decision, you may consider requesting a review.</w:t>
      </w:r>
      <w:r w:rsidR="000831A0">
        <w:rPr>
          <w:rFonts w:ascii="Arial" w:hAnsi="Arial" w:cs="Arial"/>
          <w:lang w:val="en-US"/>
        </w:rPr>
        <w:t xml:space="preserve"> </w:t>
      </w:r>
      <w:r w:rsidR="008461A1">
        <w:rPr>
          <w:rFonts w:ascii="Arial" w:hAnsi="Arial" w:cs="Arial"/>
          <w:lang w:val="en-US"/>
        </w:rPr>
        <w:t xml:space="preserve"> </w:t>
      </w:r>
      <w:r w:rsidR="00973231">
        <w:rPr>
          <w:rFonts w:ascii="Arial" w:hAnsi="Arial" w:cs="Arial"/>
          <w:lang w:val="en-US"/>
        </w:rPr>
        <w:t xml:space="preserve">This information sheet explains when and how you can Request </w:t>
      </w:r>
      <w:r w:rsidR="00DF1501">
        <w:rPr>
          <w:rFonts w:ascii="Arial" w:hAnsi="Arial" w:cs="Arial"/>
          <w:lang w:val="en-US"/>
        </w:rPr>
        <w:t>a</w:t>
      </w:r>
      <w:r w:rsidR="00973231">
        <w:rPr>
          <w:rFonts w:ascii="Arial" w:hAnsi="Arial" w:cs="Arial"/>
          <w:lang w:val="en-US"/>
        </w:rPr>
        <w:t xml:space="preserve"> Review of a decision.</w:t>
      </w:r>
    </w:p>
    <w:p w14:paraId="6F9EDD69" w14:textId="77777777" w:rsidR="000C1054" w:rsidRDefault="000C1054" w:rsidP="000C1054">
      <w:pPr>
        <w:pStyle w:val="NoSpacing"/>
        <w:rPr>
          <w:rStyle w:val="TitleChar"/>
          <w:b w:val="0"/>
          <w:sz w:val="24"/>
          <w:szCs w:val="24"/>
          <w:lang w:val="en-CA"/>
        </w:rPr>
      </w:pPr>
      <w:r>
        <w:rPr>
          <w:rStyle w:val="TitleChar"/>
          <w:b w:val="0"/>
          <w:sz w:val="24"/>
          <w:szCs w:val="24"/>
          <w:lang w:val="en-CA"/>
        </w:rPr>
        <w:t xml:space="preserve">You may ask the ARB to </w:t>
      </w:r>
      <w:r w:rsidR="00DF1501">
        <w:rPr>
          <w:rStyle w:val="TitleChar"/>
          <w:b w:val="0"/>
          <w:sz w:val="24"/>
          <w:szCs w:val="24"/>
          <w:lang w:val="en-CA"/>
        </w:rPr>
        <w:t xml:space="preserve">review </w:t>
      </w:r>
      <w:r w:rsidR="0029172B">
        <w:rPr>
          <w:rStyle w:val="TitleChar"/>
          <w:b w:val="0"/>
          <w:sz w:val="24"/>
          <w:szCs w:val="24"/>
          <w:lang w:val="en-CA"/>
        </w:rPr>
        <w:t>a decision</w:t>
      </w:r>
      <w:r w:rsidR="00DA1724">
        <w:rPr>
          <w:rStyle w:val="TitleChar"/>
          <w:b w:val="0"/>
          <w:sz w:val="24"/>
          <w:szCs w:val="24"/>
          <w:lang w:val="en-CA"/>
        </w:rPr>
        <w:t xml:space="preserve"> </w:t>
      </w:r>
      <w:r>
        <w:rPr>
          <w:rStyle w:val="TitleChar"/>
          <w:b w:val="0"/>
          <w:sz w:val="24"/>
          <w:szCs w:val="24"/>
          <w:lang w:val="en-CA"/>
        </w:rPr>
        <w:t>if you believe that the ARB:</w:t>
      </w:r>
    </w:p>
    <w:p w14:paraId="3CA0F876" w14:textId="77777777" w:rsidR="000C1054" w:rsidRDefault="000C1054" w:rsidP="000C1054">
      <w:pPr>
        <w:pStyle w:val="NoSpacing"/>
        <w:rPr>
          <w:rStyle w:val="TitleChar"/>
          <w:b w:val="0"/>
          <w:sz w:val="24"/>
          <w:szCs w:val="24"/>
          <w:lang w:val="en-CA"/>
        </w:rPr>
      </w:pPr>
    </w:p>
    <w:p w14:paraId="06688F54" w14:textId="77777777" w:rsidR="00373168" w:rsidRPr="001B06C5" w:rsidRDefault="008461A1" w:rsidP="00373168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Acted outside its jurisdiction;</w:t>
      </w:r>
    </w:p>
    <w:p w14:paraId="744F2F6D" w14:textId="77777777" w:rsidR="00373168" w:rsidRPr="001B06C5" w:rsidRDefault="00373168" w:rsidP="00373168">
      <w:pPr>
        <w:numPr>
          <w:ilvl w:val="0"/>
          <w:numId w:val="17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Violated the rules of natural</w:t>
      </w:r>
      <w:r w:rsidR="008461A1">
        <w:rPr>
          <w:rFonts w:ascii="Arial" w:hAnsi="Arial" w:cs="Arial"/>
        </w:rPr>
        <w:t xml:space="preserve"> justice or procedural fairness;</w:t>
      </w:r>
    </w:p>
    <w:p w14:paraId="1CDB655B" w14:textId="77777777" w:rsidR="00373168" w:rsidRPr="001B06C5" w:rsidRDefault="00F93BB8" w:rsidP="00373168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Made a</w:t>
      </w:r>
      <w:r w:rsidR="00373168" w:rsidRPr="001B0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significant </w:t>
      </w:r>
      <w:r w:rsidR="00373168" w:rsidRPr="001B06C5">
        <w:rPr>
          <w:rFonts w:ascii="Arial" w:hAnsi="Arial" w:cs="Arial"/>
        </w:rPr>
        <w:t xml:space="preserve">error of law or fact </w:t>
      </w:r>
      <w:r w:rsidR="00620938">
        <w:rPr>
          <w:rFonts w:ascii="Arial" w:hAnsi="Arial" w:cs="Arial"/>
        </w:rPr>
        <w:t>that would have resulted in the ARB making a different decision</w:t>
      </w:r>
      <w:r w:rsidR="008461A1">
        <w:rPr>
          <w:rFonts w:ascii="Arial" w:hAnsi="Arial" w:cs="Arial"/>
        </w:rPr>
        <w:t>;</w:t>
      </w:r>
    </w:p>
    <w:p w14:paraId="27CC182C" w14:textId="77777777" w:rsidR="00373168" w:rsidRPr="001B06C5" w:rsidRDefault="00373168" w:rsidP="00373168">
      <w:pPr>
        <w:numPr>
          <w:ilvl w:val="0"/>
          <w:numId w:val="17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Should consider new evidence</w:t>
      </w:r>
      <w:r>
        <w:rPr>
          <w:rFonts w:ascii="Arial" w:hAnsi="Arial" w:cs="Arial"/>
        </w:rPr>
        <w:t xml:space="preserve"> that could not have been reasonably </w:t>
      </w:r>
      <w:r w:rsidR="00620938">
        <w:rPr>
          <w:rFonts w:ascii="Arial" w:hAnsi="Arial" w:cs="Arial"/>
        </w:rPr>
        <w:t>provided</w:t>
      </w:r>
      <w:r>
        <w:rPr>
          <w:rFonts w:ascii="Arial" w:hAnsi="Arial" w:cs="Arial"/>
        </w:rPr>
        <w:t xml:space="preserve"> earlier and would</w:t>
      </w:r>
      <w:r w:rsidRPr="001B06C5">
        <w:rPr>
          <w:rFonts w:ascii="Arial" w:hAnsi="Arial" w:cs="Arial"/>
        </w:rPr>
        <w:t xml:space="preserve"> have affected the </w:t>
      </w:r>
      <w:r w:rsidR="00620938">
        <w:rPr>
          <w:rFonts w:ascii="Arial" w:hAnsi="Arial" w:cs="Arial"/>
        </w:rPr>
        <w:t>decision</w:t>
      </w:r>
      <w:r w:rsidR="008461A1">
        <w:rPr>
          <w:rFonts w:ascii="Arial" w:hAnsi="Arial" w:cs="Arial"/>
        </w:rPr>
        <w:t>; or</w:t>
      </w:r>
    </w:p>
    <w:p w14:paraId="5BC807BB" w14:textId="77777777" w:rsidR="00373168" w:rsidRPr="00620938" w:rsidRDefault="00373168" w:rsidP="00620938">
      <w:pPr>
        <w:numPr>
          <w:ilvl w:val="0"/>
          <w:numId w:val="17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Heard false or misleading evidence from a party or witness, which was discovered only after the hearing and </w:t>
      </w:r>
      <w:r>
        <w:rPr>
          <w:rFonts w:ascii="Arial" w:hAnsi="Arial" w:cs="Arial"/>
        </w:rPr>
        <w:t>would</w:t>
      </w:r>
      <w:r w:rsidRPr="001B06C5">
        <w:rPr>
          <w:rFonts w:ascii="Arial" w:hAnsi="Arial" w:cs="Arial"/>
        </w:rPr>
        <w:t xml:space="preserve"> have </w:t>
      </w:r>
      <w:r w:rsidR="00620938">
        <w:rPr>
          <w:rFonts w:ascii="Arial" w:hAnsi="Arial" w:cs="Arial"/>
        </w:rPr>
        <w:t>affected the decision.</w:t>
      </w:r>
    </w:p>
    <w:p w14:paraId="23DD702B" w14:textId="77777777" w:rsidR="00882C5A" w:rsidRPr="00882C5A" w:rsidRDefault="00882C5A" w:rsidP="00882C5A">
      <w:pPr>
        <w:spacing w:before="240" w:after="240"/>
        <w:rPr>
          <w:rFonts w:ascii="Arial" w:hAnsi="Arial" w:cs="Arial"/>
          <w:b/>
        </w:rPr>
      </w:pPr>
      <w:r w:rsidRPr="001B06C5">
        <w:rPr>
          <w:rStyle w:val="Emphasis"/>
        </w:rPr>
        <w:t>Note:</w:t>
      </w:r>
      <w:r>
        <w:rPr>
          <w:rStyle w:val="Emphasis"/>
        </w:rPr>
        <w:t xml:space="preserve"> </w:t>
      </w:r>
      <w:r w:rsidRPr="001B06C5">
        <w:rPr>
          <w:rStyle w:val="Emphasis"/>
        </w:rPr>
        <w:t xml:space="preserve">The ARB </w:t>
      </w:r>
      <w:r w:rsidR="008461A1">
        <w:rPr>
          <w:rStyle w:val="Emphasis"/>
        </w:rPr>
        <w:t>will</w:t>
      </w:r>
      <w:r w:rsidR="0044649A">
        <w:rPr>
          <w:rStyle w:val="Emphasis"/>
        </w:rPr>
        <w:t xml:space="preserve"> deny</w:t>
      </w:r>
      <w:r w:rsidRPr="001B06C5">
        <w:rPr>
          <w:rStyle w:val="Emphasis"/>
        </w:rPr>
        <w:t xml:space="preserve"> review requests that </w:t>
      </w:r>
      <w:r>
        <w:rPr>
          <w:rStyle w:val="Emphasis"/>
        </w:rPr>
        <w:t>do not m</w:t>
      </w:r>
      <w:r w:rsidR="0044649A">
        <w:rPr>
          <w:rStyle w:val="Emphasis"/>
        </w:rPr>
        <w:t xml:space="preserve">eet the </w:t>
      </w:r>
      <w:r w:rsidR="0011283D">
        <w:rPr>
          <w:rStyle w:val="Emphasis"/>
        </w:rPr>
        <w:t xml:space="preserve">criteria </w:t>
      </w:r>
      <w:r w:rsidR="0044649A">
        <w:rPr>
          <w:rStyle w:val="Emphasis"/>
        </w:rPr>
        <w:t>outlined above.</w:t>
      </w:r>
      <w:r>
        <w:rPr>
          <w:rStyle w:val="Emphasis"/>
        </w:rPr>
        <w:t xml:space="preserve"> </w:t>
      </w:r>
    </w:p>
    <w:p w14:paraId="0124F64B" w14:textId="6EA66F03" w:rsidR="00373168" w:rsidRPr="0011283D" w:rsidRDefault="00244770" w:rsidP="008758EA">
      <w:pPr>
        <w:autoSpaceDE w:val="0"/>
        <w:autoSpaceDN w:val="0"/>
        <w:adjustRightInd w:val="0"/>
        <w:spacing w:before="240" w:after="240"/>
        <w:rPr>
          <w:rFonts w:ascii="Arial" w:hAnsi="Arial" w:cs="Arial"/>
        </w:rPr>
      </w:pPr>
      <w:r w:rsidRPr="0011283D">
        <w:rPr>
          <w:rFonts w:ascii="Arial" w:hAnsi="Arial" w:cs="Arial"/>
          <w:noProof/>
          <w:szCs w:val="20"/>
          <w:lang w:eastAsia="en-CA"/>
        </w:rPr>
        <w:drawing>
          <wp:anchor distT="0" distB="0" distL="114300" distR="114300" simplePos="0" relativeHeight="251660288" behindDoc="0" locked="0" layoutInCell="1" allowOverlap="1" wp14:anchorId="27AE6073" wp14:editId="67B6E521">
            <wp:simplePos x="0" y="0"/>
            <wp:positionH relativeFrom="column">
              <wp:posOffset>-4983480</wp:posOffset>
            </wp:positionH>
            <wp:positionV relativeFrom="paragraph">
              <wp:posOffset>22860</wp:posOffset>
            </wp:positionV>
            <wp:extent cx="457200" cy="571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C2" w:rsidRPr="0011283D">
        <w:rPr>
          <w:rFonts w:ascii="Arial" w:hAnsi="Arial" w:cs="Arial"/>
        </w:rPr>
        <w:t xml:space="preserve">If you believe that your appeal was dismissed or </w:t>
      </w:r>
      <w:r w:rsidR="0011283D" w:rsidRPr="0011283D">
        <w:rPr>
          <w:rFonts w:ascii="Arial" w:hAnsi="Arial" w:cs="Arial"/>
        </w:rPr>
        <w:t>withdrawn</w:t>
      </w:r>
      <w:r w:rsidR="008960C2" w:rsidRPr="0011283D">
        <w:rPr>
          <w:rFonts w:ascii="Arial" w:hAnsi="Arial" w:cs="Arial"/>
        </w:rPr>
        <w:t xml:space="preserve"> in error see info</w:t>
      </w:r>
      <w:r w:rsidR="0011283D" w:rsidRPr="0011283D">
        <w:rPr>
          <w:rFonts w:ascii="Arial" w:hAnsi="Arial" w:cs="Arial"/>
        </w:rPr>
        <w:t xml:space="preserve">rmation sheet on Requesting a Reinstatement, available </w:t>
      </w:r>
      <w:hyperlink r:id="rId10" w:history="1">
        <w:r w:rsidR="0011283D" w:rsidRPr="00514D79">
          <w:rPr>
            <w:rStyle w:val="Hyperlink"/>
            <w:sz w:val="24"/>
            <w:szCs w:val="24"/>
          </w:rPr>
          <w:t>here</w:t>
        </w:r>
      </w:hyperlink>
      <w:r w:rsidR="0011283D" w:rsidRPr="0011283D">
        <w:rPr>
          <w:rFonts w:ascii="Arial" w:hAnsi="Arial" w:cs="Arial"/>
        </w:rPr>
        <w:t>.</w:t>
      </w:r>
    </w:p>
    <w:p w14:paraId="02095877" w14:textId="77777777" w:rsidR="007E2E02" w:rsidRPr="008461A1" w:rsidRDefault="007E2E02" w:rsidP="001B06C5">
      <w:pPr>
        <w:pStyle w:val="Heading1"/>
        <w:rPr>
          <w:sz w:val="28"/>
          <w:szCs w:val="28"/>
        </w:rPr>
      </w:pPr>
      <w:r w:rsidRPr="008461A1">
        <w:rPr>
          <w:sz w:val="28"/>
          <w:szCs w:val="28"/>
        </w:rPr>
        <w:t xml:space="preserve">How </w:t>
      </w:r>
      <w:r w:rsidR="006930A9" w:rsidRPr="008461A1">
        <w:rPr>
          <w:sz w:val="28"/>
          <w:szCs w:val="28"/>
        </w:rPr>
        <w:t>do I</w:t>
      </w:r>
      <w:r w:rsidR="00973231" w:rsidRPr="008461A1">
        <w:rPr>
          <w:sz w:val="28"/>
          <w:szCs w:val="28"/>
        </w:rPr>
        <w:t xml:space="preserve"> R</w:t>
      </w:r>
      <w:r w:rsidRPr="008461A1">
        <w:rPr>
          <w:sz w:val="28"/>
          <w:szCs w:val="28"/>
        </w:rPr>
        <w:t>equest</w:t>
      </w:r>
      <w:r w:rsidR="00AF1603" w:rsidRPr="008461A1">
        <w:rPr>
          <w:sz w:val="28"/>
          <w:szCs w:val="28"/>
        </w:rPr>
        <w:t xml:space="preserve"> a </w:t>
      </w:r>
      <w:r w:rsidR="00973231" w:rsidRPr="008461A1">
        <w:rPr>
          <w:sz w:val="28"/>
          <w:szCs w:val="28"/>
        </w:rPr>
        <w:t>R</w:t>
      </w:r>
      <w:r w:rsidR="00834CD4" w:rsidRPr="008461A1">
        <w:rPr>
          <w:sz w:val="28"/>
          <w:szCs w:val="28"/>
        </w:rPr>
        <w:t>eview of an ARB</w:t>
      </w:r>
      <w:r w:rsidR="006930A9" w:rsidRPr="008461A1">
        <w:rPr>
          <w:sz w:val="28"/>
          <w:szCs w:val="28"/>
        </w:rPr>
        <w:t xml:space="preserve"> decision?</w:t>
      </w:r>
    </w:p>
    <w:p w14:paraId="3B939011" w14:textId="77777777" w:rsidR="000F6635" w:rsidRDefault="008461A1" w:rsidP="008758EA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You must first have written reasons for the decision you are requesting the ARB to review. </w:t>
      </w:r>
      <w:r w:rsidR="00973231">
        <w:rPr>
          <w:rFonts w:ascii="Arial" w:hAnsi="Arial" w:cs="Arial"/>
        </w:rPr>
        <w:t>Written r</w:t>
      </w:r>
      <w:r w:rsidR="00834CD4">
        <w:rPr>
          <w:rFonts w:ascii="Arial" w:hAnsi="Arial" w:cs="Arial"/>
        </w:rPr>
        <w:t xml:space="preserve">easons outline why the decision was made. </w:t>
      </w:r>
    </w:p>
    <w:p w14:paraId="270AC26A" w14:textId="77777777" w:rsidR="000F6635" w:rsidRDefault="000F6635" w:rsidP="008758EA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Any party involved in the ARB matter may request written reasons for a decision. </w:t>
      </w:r>
      <w:r w:rsidR="008461A1">
        <w:rPr>
          <w:rFonts w:ascii="Arial" w:hAnsi="Arial" w:cs="Arial"/>
        </w:rPr>
        <w:t xml:space="preserve"> </w:t>
      </w:r>
      <w:r w:rsidR="00973231">
        <w:rPr>
          <w:rFonts w:ascii="Arial" w:hAnsi="Arial" w:cs="Arial"/>
        </w:rPr>
        <w:t>You can request the written reasons either at the hearing or by writing to the ARB within 14 days of the final hearing date.</w:t>
      </w:r>
      <w:r w:rsidR="008461A1">
        <w:rPr>
          <w:rFonts w:ascii="Arial" w:hAnsi="Arial" w:cs="Arial"/>
        </w:rPr>
        <w:t xml:space="preserve">  </w:t>
      </w:r>
      <w:r w:rsidRPr="001B06C5">
        <w:rPr>
          <w:rFonts w:ascii="Arial" w:hAnsi="Arial" w:cs="Arial"/>
        </w:rPr>
        <w:t xml:space="preserve">If the decision was reserved </w:t>
      </w:r>
      <w:r>
        <w:rPr>
          <w:rFonts w:ascii="Arial" w:hAnsi="Arial" w:cs="Arial"/>
        </w:rPr>
        <w:t xml:space="preserve">to be made at a later date </w:t>
      </w:r>
      <w:r w:rsidRPr="001B06C5">
        <w:rPr>
          <w:rFonts w:ascii="Arial" w:hAnsi="Arial" w:cs="Arial"/>
        </w:rPr>
        <w:t xml:space="preserve">by the </w:t>
      </w:r>
      <w:r w:rsidR="00592E8D">
        <w:rPr>
          <w:rFonts w:ascii="Arial" w:hAnsi="Arial" w:cs="Arial"/>
        </w:rPr>
        <w:t>ARB</w:t>
      </w:r>
      <w:r w:rsidRPr="001B06C5">
        <w:rPr>
          <w:rFonts w:ascii="Arial" w:hAnsi="Arial" w:cs="Arial"/>
        </w:rPr>
        <w:t xml:space="preserve">, you will automatically receive written reasons. </w:t>
      </w:r>
    </w:p>
    <w:p w14:paraId="62D12CC1" w14:textId="77777777" w:rsidR="008116CA" w:rsidRPr="00767434" w:rsidRDefault="008461A1" w:rsidP="008758EA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Once you have the written reasons for the decision, c</w:t>
      </w:r>
      <w:r w:rsidR="008116CA">
        <w:rPr>
          <w:rFonts w:ascii="Arial" w:hAnsi="Arial" w:cs="Arial"/>
        </w:rPr>
        <w:t>omplete the</w:t>
      </w:r>
      <w:r w:rsidR="00B84BF5" w:rsidRPr="001B06C5">
        <w:rPr>
          <w:rFonts w:ascii="Arial" w:hAnsi="Arial" w:cs="Arial"/>
        </w:rPr>
        <w:t xml:space="preserve"> </w:t>
      </w:r>
      <w:r w:rsidR="00B84BF5" w:rsidRPr="0011283D">
        <w:rPr>
          <w:rFonts w:ascii="Arial" w:hAnsi="Arial" w:cs="Arial"/>
        </w:rPr>
        <w:t xml:space="preserve">Request </w:t>
      </w:r>
      <w:r w:rsidR="00DF1501">
        <w:rPr>
          <w:rFonts w:ascii="Arial" w:hAnsi="Arial" w:cs="Arial"/>
        </w:rPr>
        <w:t>for</w:t>
      </w:r>
      <w:r w:rsidR="00B84BF5" w:rsidRPr="0011283D">
        <w:rPr>
          <w:rFonts w:ascii="Arial" w:hAnsi="Arial" w:cs="Arial"/>
        </w:rPr>
        <w:t xml:space="preserve"> Review form</w:t>
      </w:r>
      <w:r w:rsidR="00B84BF5" w:rsidRPr="001B06C5">
        <w:rPr>
          <w:rFonts w:ascii="Arial" w:hAnsi="Arial" w:cs="Arial"/>
        </w:rPr>
        <w:t xml:space="preserve"> </w:t>
      </w:r>
      <w:r w:rsidR="008116CA">
        <w:rPr>
          <w:rFonts w:ascii="Arial" w:hAnsi="Arial" w:cs="Arial"/>
        </w:rPr>
        <w:t xml:space="preserve">or send a letter to the ARB </w:t>
      </w:r>
      <w:r w:rsidR="00293710" w:rsidRPr="008116CA">
        <w:rPr>
          <w:rStyle w:val="Emphasis"/>
          <w:b w:val="0"/>
        </w:rPr>
        <w:t>to</w:t>
      </w:r>
      <w:r w:rsidR="008116CA">
        <w:rPr>
          <w:rStyle w:val="Emphasis"/>
          <w:b w:val="0"/>
        </w:rPr>
        <w:t xml:space="preserve"> request </w:t>
      </w:r>
      <w:r w:rsidR="00DF1501">
        <w:rPr>
          <w:rStyle w:val="Emphasis"/>
          <w:b w:val="0"/>
        </w:rPr>
        <w:t xml:space="preserve">a </w:t>
      </w:r>
      <w:r w:rsidR="008116CA">
        <w:rPr>
          <w:rStyle w:val="Emphasis"/>
          <w:b w:val="0"/>
        </w:rPr>
        <w:t>review of a decision</w:t>
      </w:r>
      <w:r w:rsidR="00973231">
        <w:rPr>
          <w:rStyle w:val="Emphasis"/>
          <w:b w:val="0"/>
        </w:rPr>
        <w:t xml:space="preserve"> within 30 days of the issue date of the written reasons</w:t>
      </w:r>
      <w:r w:rsidR="00293710" w:rsidRPr="008116C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293710" w:rsidRPr="008116CA">
        <w:rPr>
          <w:rFonts w:ascii="Arial" w:hAnsi="Arial" w:cs="Arial"/>
          <w:b/>
        </w:rPr>
        <w:t xml:space="preserve"> </w:t>
      </w:r>
      <w:r w:rsidR="00767434">
        <w:rPr>
          <w:rFonts w:ascii="Arial" w:hAnsi="Arial" w:cs="Arial"/>
        </w:rPr>
        <w:t>Make sure you copy all other parties when submitting your request.</w:t>
      </w:r>
    </w:p>
    <w:p w14:paraId="0DAED690" w14:textId="77777777" w:rsidR="007E2E02" w:rsidRPr="001B06C5" w:rsidRDefault="00293710" w:rsidP="008758EA">
      <w:pPr>
        <w:spacing w:before="240" w:after="240"/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The </w:t>
      </w:r>
      <w:r w:rsidR="00F0604E" w:rsidRPr="001B06C5">
        <w:rPr>
          <w:rFonts w:ascii="Arial" w:hAnsi="Arial" w:cs="Arial"/>
        </w:rPr>
        <w:t xml:space="preserve">request </w:t>
      </w:r>
      <w:r w:rsidRPr="001B06C5">
        <w:rPr>
          <w:rFonts w:ascii="Arial" w:hAnsi="Arial" w:cs="Arial"/>
        </w:rPr>
        <w:t>should include</w:t>
      </w:r>
      <w:r w:rsidR="007E2E02" w:rsidRPr="001B06C5">
        <w:rPr>
          <w:rFonts w:ascii="Arial" w:hAnsi="Arial" w:cs="Arial"/>
        </w:rPr>
        <w:t>:</w:t>
      </w:r>
    </w:p>
    <w:p w14:paraId="0769FBC0" w14:textId="77777777" w:rsidR="007E2E02" w:rsidRPr="00E845EA" w:rsidRDefault="007E2E02" w:rsidP="00E845EA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Your full name, address, telephone</w:t>
      </w:r>
      <w:r w:rsidR="00172EA6">
        <w:rPr>
          <w:rFonts w:ascii="Arial" w:hAnsi="Arial" w:cs="Arial"/>
        </w:rPr>
        <w:t xml:space="preserve"> and fax number</w:t>
      </w:r>
      <w:r w:rsidR="006473B3">
        <w:rPr>
          <w:rFonts w:ascii="Arial" w:hAnsi="Arial" w:cs="Arial"/>
        </w:rPr>
        <w:t xml:space="preserve">, </w:t>
      </w:r>
      <w:r w:rsidR="00172EA6">
        <w:rPr>
          <w:rFonts w:ascii="Arial" w:hAnsi="Arial" w:cs="Arial"/>
        </w:rPr>
        <w:t xml:space="preserve">and </w:t>
      </w:r>
      <w:r w:rsidR="006473B3">
        <w:rPr>
          <w:rFonts w:ascii="Arial" w:hAnsi="Arial" w:cs="Arial"/>
        </w:rPr>
        <w:t>e-mail a</w:t>
      </w:r>
      <w:r w:rsidR="00540AFF">
        <w:rPr>
          <w:rFonts w:ascii="Arial" w:hAnsi="Arial" w:cs="Arial"/>
        </w:rPr>
        <w:t>d</w:t>
      </w:r>
      <w:r w:rsidR="006473B3" w:rsidRPr="00E845EA">
        <w:rPr>
          <w:rFonts w:ascii="Arial" w:hAnsi="Arial" w:cs="Arial"/>
        </w:rPr>
        <w:t>dress</w:t>
      </w:r>
    </w:p>
    <w:p w14:paraId="07EBB963" w14:textId="77777777" w:rsidR="007E2E02" w:rsidRPr="001B06C5" w:rsidRDefault="00077538" w:rsidP="00BF25B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If you are using a Representative, their</w:t>
      </w:r>
      <w:r w:rsidR="007E2E02" w:rsidRPr="001B06C5">
        <w:rPr>
          <w:rFonts w:ascii="Arial" w:hAnsi="Arial" w:cs="Arial"/>
        </w:rPr>
        <w:t xml:space="preserve"> full name, address,</w:t>
      </w:r>
      <w:r w:rsidR="00D64F3A" w:rsidRPr="001B06C5">
        <w:rPr>
          <w:rFonts w:ascii="Arial" w:hAnsi="Arial" w:cs="Arial"/>
        </w:rPr>
        <w:t xml:space="preserve"> telephone and fax number and e</w:t>
      </w:r>
      <w:r w:rsidR="007E2E02" w:rsidRPr="001B06C5">
        <w:rPr>
          <w:rFonts w:ascii="Arial" w:hAnsi="Arial" w:cs="Arial"/>
        </w:rPr>
        <w:t>mail address</w:t>
      </w:r>
      <w:r w:rsidR="008461A1">
        <w:rPr>
          <w:rFonts w:ascii="Arial" w:hAnsi="Arial" w:cs="Arial"/>
        </w:rPr>
        <w:t>;</w:t>
      </w:r>
    </w:p>
    <w:p w14:paraId="7933CD20" w14:textId="77777777" w:rsidR="007E2E02" w:rsidRPr="001B06C5" w:rsidRDefault="00077538" w:rsidP="00BF25B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Your signature or</w:t>
      </w:r>
      <w:r w:rsidR="006473B3">
        <w:rPr>
          <w:rFonts w:ascii="Arial" w:hAnsi="Arial" w:cs="Arial"/>
        </w:rPr>
        <w:t xml:space="preserve"> your R</w:t>
      </w:r>
      <w:r w:rsidR="008461A1">
        <w:rPr>
          <w:rFonts w:ascii="Arial" w:hAnsi="Arial" w:cs="Arial"/>
        </w:rPr>
        <w:t>epresentative’</w:t>
      </w:r>
      <w:r>
        <w:rPr>
          <w:rFonts w:ascii="Arial" w:hAnsi="Arial" w:cs="Arial"/>
        </w:rPr>
        <w:t>s</w:t>
      </w:r>
      <w:r w:rsidR="008461A1">
        <w:rPr>
          <w:rFonts w:ascii="Arial" w:hAnsi="Arial" w:cs="Arial"/>
        </w:rPr>
        <w:t xml:space="preserve"> signature;</w:t>
      </w:r>
    </w:p>
    <w:p w14:paraId="53512D60" w14:textId="77777777" w:rsidR="007E2E02" w:rsidRPr="001B06C5" w:rsidRDefault="006473B3" w:rsidP="00BF25B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brief outl</w:t>
      </w:r>
      <w:r w:rsidR="008461A1">
        <w:rPr>
          <w:rFonts w:ascii="Arial" w:hAnsi="Arial" w:cs="Arial"/>
        </w:rPr>
        <w:t>ine for reasons of your request;</w:t>
      </w:r>
    </w:p>
    <w:p w14:paraId="6C469350" w14:textId="77777777" w:rsidR="007E2E02" w:rsidRPr="001B06C5" w:rsidRDefault="007E2E02" w:rsidP="00BF25BD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What you think sh</w:t>
      </w:r>
      <w:r w:rsidR="008461A1">
        <w:rPr>
          <w:rFonts w:ascii="Arial" w:hAnsi="Arial" w:cs="Arial"/>
        </w:rPr>
        <w:t>ould be changed in the decision;</w:t>
      </w:r>
    </w:p>
    <w:p w14:paraId="6A8E634A" w14:textId="77777777" w:rsidR="00F0604E" w:rsidRPr="001B06C5" w:rsidRDefault="00F0604E" w:rsidP="00F0604E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An </w:t>
      </w:r>
      <w:r w:rsidRPr="0011283D">
        <w:rPr>
          <w:rFonts w:ascii="Arial" w:hAnsi="Arial" w:cs="Arial"/>
        </w:rPr>
        <w:t>affidavit</w:t>
      </w:r>
      <w:r w:rsidRPr="001B06C5">
        <w:rPr>
          <w:rFonts w:ascii="Arial" w:hAnsi="Arial" w:cs="Arial"/>
        </w:rPr>
        <w:t xml:space="preserve"> stating the facts </w:t>
      </w:r>
      <w:r w:rsidR="00673C64">
        <w:rPr>
          <w:rFonts w:ascii="Arial" w:hAnsi="Arial" w:cs="Arial"/>
        </w:rPr>
        <w:t>that</w:t>
      </w:r>
      <w:r w:rsidR="008461A1">
        <w:rPr>
          <w:rFonts w:ascii="Arial" w:hAnsi="Arial" w:cs="Arial"/>
        </w:rPr>
        <w:t xml:space="preserve"> support the request;</w:t>
      </w:r>
    </w:p>
    <w:p w14:paraId="7383F834" w14:textId="77777777" w:rsidR="007E2E02" w:rsidRPr="001B06C5" w:rsidRDefault="00682CCB" w:rsidP="00BF25B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Supporting documents,</w:t>
      </w:r>
      <w:r w:rsidR="007E2E02" w:rsidRPr="001B06C5">
        <w:rPr>
          <w:rFonts w:ascii="Arial" w:hAnsi="Arial" w:cs="Arial"/>
        </w:rPr>
        <w:t xml:space="preserve"> including copies of the original decision and any new evidence that w</w:t>
      </w:r>
      <w:r w:rsidR="001E0F04" w:rsidRPr="001B06C5">
        <w:rPr>
          <w:rFonts w:ascii="Arial" w:hAnsi="Arial" w:cs="Arial"/>
        </w:rPr>
        <w:t>as not available at the hearing</w:t>
      </w:r>
      <w:r w:rsidR="00F0604E" w:rsidRPr="001B06C5">
        <w:rPr>
          <w:rFonts w:ascii="Arial" w:hAnsi="Arial" w:cs="Arial"/>
        </w:rPr>
        <w:t xml:space="preserve"> and could affect the result</w:t>
      </w:r>
      <w:r w:rsidR="008461A1">
        <w:rPr>
          <w:rFonts w:ascii="Arial" w:hAnsi="Arial" w:cs="Arial"/>
        </w:rPr>
        <w:t>;</w:t>
      </w:r>
    </w:p>
    <w:p w14:paraId="28D5D96E" w14:textId="77777777" w:rsidR="007E2E02" w:rsidRPr="001B06C5" w:rsidRDefault="00DF2184" w:rsidP="00BF25BD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Indicate w</w:t>
      </w:r>
      <w:r w:rsidR="007E2E02" w:rsidRPr="001B06C5">
        <w:rPr>
          <w:rFonts w:ascii="Arial" w:hAnsi="Arial" w:cs="Arial"/>
        </w:rPr>
        <w:t>hether you have or will submit an application for leave to appeal or for judicial review to the court</w:t>
      </w:r>
      <w:r w:rsidR="008461A1">
        <w:rPr>
          <w:rFonts w:ascii="Arial" w:hAnsi="Arial" w:cs="Arial"/>
        </w:rPr>
        <w:t>; and</w:t>
      </w:r>
    </w:p>
    <w:p w14:paraId="2F03123A" w14:textId="77777777" w:rsidR="00767434" w:rsidRPr="008461A1" w:rsidRDefault="007E2E02" w:rsidP="008461A1">
      <w:pPr>
        <w:numPr>
          <w:ilvl w:val="0"/>
          <w:numId w:val="16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>A</w:t>
      </w:r>
      <w:r w:rsidR="00AF1603" w:rsidRPr="001B06C5">
        <w:rPr>
          <w:rFonts w:ascii="Arial" w:hAnsi="Arial" w:cs="Arial"/>
        </w:rPr>
        <w:t xml:space="preserve"> </w:t>
      </w:r>
      <w:r w:rsidR="00AF1603" w:rsidRPr="001B06C5">
        <w:rPr>
          <w:rStyle w:val="Emphasis"/>
        </w:rPr>
        <w:t>non-refundable</w:t>
      </w:r>
      <w:r w:rsidRPr="001B06C5">
        <w:rPr>
          <w:rFonts w:ascii="Arial" w:hAnsi="Arial" w:cs="Arial"/>
        </w:rPr>
        <w:t xml:space="preserve"> filing fee </w:t>
      </w:r>
      <w:r w:rsidR="00DF1501">
        <w:rPr>
          <w:rFonts w:ascii="Arial" w:hAnsi="Arial" w:cs="Arial"/>
        </w:rPr>
        <w:t xml:space="preserve">paid by way </w:t>
      </w:r>
      <w:r w:rsidRPr="001B06C5">
        <w:rPr>
          <w:rFonts w:ascii="Arial" w:hAnsi="Arial" w:cs="Arial"/>
        </w:rPr>
        <w:t>of</w:t>
      </w:r>
      <w:r w:rsidR="00373A01">
        <w:rPr>
          <w:rFonts w:ascii="Arial" w:hAnsi="Arial" w:cs="Arial"/>
        </w:rPr>
        <w:t xml:space="preserve"> cheque or money order of </w:t>
      </w:r>
      <w:r w:rsidRPr="001B06C5">
        <w:rPr>
          <w:rFonts w:ascii="Arial" w:hAnsi="Arial" w:cs="Arial"/>
        </w:rPr>
        <w:t>$125 payab</w:t>
      </w:r>
      <w:r w:rsidR="00373A01">
        <w:rPr>
          <w:rFonts w:ascii="Arial" w:hAnsi="Arial" w:cs="Arial"/>
        </w:rPr>
        <w:t>le to the Minister of Finance</w:t>
      </w:r>
      <w:r w:rsidR="00C0454D">
        <w:rPr>
          <w:rFonts w:ascii="Arial" w:hAnsi="Arial" w:cs="Arial"/>
        </w:rPr>
        <w:t>.</w:t>
      </w:r>
    </w:p>
    <w:p w14:paraId="23DEF691" w14:textId="77777777" w:rsidR="00114FC7" w:rsidRDefault="00114FC7" w:rsidP="002E49E3">
      <w:pPr>
        <w:pStyle w:val="Heading1"/>
      </w:pPr>
    </w:p>
    <w:p w14:paraId="3BA5D4B2" w14:textId="77777777" w:rsidR="002E49E3" w:rsidRPr="008461A1" w:rsidRDefault="002E49E3" w:rsidP="002E49E3">
      <w:pPr>
        <w:pStyle w:val="Heading1"/>
        <w:rPr>
          <w:sz w:val="28"/>
          <w:szCs w:val="28"/>
        </w:rPr>
      </w:pPr>
      <w:r w:rsidRPr="008461A1">
        <w:rPr>
          <w:sz w:val="28"/>
          <w:szCs w:val="28"/>
        </w:rPr>
        <w:t>What happens after I send in my request?</w:t>
      </w:r>
    </w:p>
    <w:p w14:paraId="63DD7718" w14:textId="77777777" w:rsidR="002E49E3" w:rsidRPr="001B06C5" w:rsidRDefault="00446F75" w:rsidP="002E49E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461A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equest for </w:t>
      </w:r>
      <w:r w:rsidR="008461A1">
        <w:rPr>
          <w:rFonts w:ascii="Arial" w:hAnsi="Arial" w:cs="Arial"/>
        </w:rPr>
        <w:t>r</w:t>
      </w:r>
      <w:r>
        <w:rPr>
          <w:rFonts w:ascii="Arial" w:hAnsi="Arial" w:cs="Arial"/>
        </w:rPr>
        <w:t>eview of a</w:t>
      </w:r>
      <w:r w:rsidR="00224705">
        <w:rPr>
          <w:rFonts w:ascii="Arial" w:hAnsi="Arial" w:cs="Arial"/>
        </w:rPr>
        <w:t xml:space="preserve"> decision will be</w:t>
      </w:r>
      <w:r w:rsidR="002E49E3" w:rsidRPr="001B06C5">
        <w:rPr>
          <w:rFonts w:ascii="Arial" w:hAnsi="Arial" w:cs="Arial"/>
        </w:rPr>
        <w:t xml:space="preserve"> reviewed by the Associate Chair</w:t>
      </w:r>
      <w:r w:rsidR="000A33F3">
        <w:rPr>
          <w:rFonts w:ascii="Arial" w:hAnsi="Arial" w:cs="Arial"/>
        </w:rPr>
        <w:t xml:space="preserve"> of the ARB</w:t>
      </w:r>
      <w:r w:rsidR="008461A1">
        <w:rPr>
          <w:rFonts w:ascii="Arial" w:hAnsi="Arial" w:cs="Arial"/>
        </w:rPr>
        <w:t>.  The Associate Chair</w:t>
      </w:r>
      <w:r w:rsidR="000A33F3">
        <w:rPr>
          <w:rFonts w:ascii="Arial" w:hAnsi="Arial" w:cs="Arial"/>
        </w:rPr>
        <w:t xml:space="preserve"> of the ARB</w:t>
      </w:r>
      <w:r w:rsidR="008461A1">
        <w:rPr>
          <w:rFonts w:ascii="Arial" w:hAnsi="Arial" w:cs="Arial"/>
        </w:rPr>
        <w:t xml:space="preserve"> may</w:t>
      </w:r>
      <w:r w:rsidR="002E49E3" w:rsidRPr="001B06C5">
        <w:rPr>
          <w:rFonts w:ascii="Arial" w:hAnsi="Arial" w:cs="Arial"/>
        </w:rPr>
        <w:t>:</w:t>
      </w:r>
    </w:p>
    <w:p w14:paraId="422ECA08" w14:textId="77777777" w:rsidR="002E49E3" w:rsidRDefault="002E49E3" w:rsidP="002E49E3">
      <w:pPr>
        <w:numPr>
          <w:ilvl w:val="0"/>
          <w:numId w:val="15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Find there was </w:t>
      </w:r>
      <w:r w:rsidR="002F1CC7">
        <w:rPr>
          <w:rFonts w:ascii="Arial" w:hAnsi="Arial" w:cs="Arial"/>
        </w:rPr>
        <w:t>no error and deny the request</w:t>
      </w:r>
      <w:r w:rsidR="008461A1">
        <w:rPr>
          <w:rFonts w:ascii="Arial" w:hAnsi="Arial" w:cs="Arial"/>
        </w:rPr>
        <w:t xml:space="preserve">, in which </w:t>
      </w:r>
      <w:r w:rsidR="002F1CC7">
        <w:rPr>
          <w:rFonts w:ascii="Arial" w:hAnsi="Arial" w:cs="Arial"/>
        </w:rPr>
        <w:t>case, t</w:t>
      </w:r>
      <w:r w:rsidRPr="001B06C5">
        <w:rPr>
          <w:rFonts w:ascii="Arial" w:hAnsi="Arial" w:cs="Arial"/>
        </w:rPr>
        <w:t xml:space="preserve">he original decision </w:t>
      </w:r>
      <w:r w:rsidR="008461A1">
        <w:rPr>
          <w:rFonts w:ascii="Arial" w:hAnsi="Arial" w:cs="Arial"/>
        </w:rPr>
        <w:t>will remain</w:t>
      </w:r>
      <w:r w:rsidR="00DF1501">
        <w:rPr>
          <w:rFonts w:ascii="Arial" w:hAnsi="Arial" w:cs="Arial"/>
        </w:rPr>
        <w:t xml:space="preserve"> in effect</w:t>
      </w:r>
      <w:r w:rsidR="008461A1">
        <w:rPr>
          <w:rFonts w:ascii="Arial" w:hAnsi="Arial" w:cs="Arial"/>
        </w:rPr>
        <w:t>;</w:t>
      </w:r>
    </w:p>
    <w:p w14:paraId="1809677B" w14:textId="77777777" w:rsidR="002E49E3" w:rsidRPr="001B06C5" w:rsidRDefault="002E49E3" w:rsidP="002E49E3">
      <w:pPr>
        <w:numPr>
          <w:ilvl w:val="0"/>
          <w:numId w:val="15"/>
        </w:numPr>
        <w:rPr>
          <w:rFonts w:ascii="Arial" w:hAnsi="Arial" w:cs="Arial"/>
        </w:rPr>
      </w:pPr>
      <w:r w:rsidRPr="001B06C5">
        <w:rPr>
          <w:rFonts w:ascii="Arial" w:hAnsi="Arial" w:cs="Arial"/>
        </w:rPr>
        <w:t xml:space="preserve">Consider that there is </w:t>
      </w:r>
      <w:r w:rsidR="00172EA6">
        <w:rPr>
          <w:rFonts w:ascii="Arial" w:hAnsi="Arial" w:cs="Arial"/>
        </w:rPr>
        <w:t xml:space="preserve">a </w:t>
      </w:r>
      <w:r w:rsidR="00D06F7E">
        <w:rPr>
          <w:rFonts w:ascii="Arial" w:hAnsi="Arial" w:cs="Arial"/>
        </w:rPr>
        <w:t xml:space="preserve">possible </w:t>
      </w:r>
      <w:r w:rsidRPr="001B06C5">
        <w:rPr>
          <w:rFonts w:ascii="Arial" w:hAnsi="Arial" w:cs="Arial"/>
        </w:rPr>
        <w:t>error and order a motion hearing be scheduled</w:t>
      </w:r>
      <w:r w:rsidR="00ED73C2">
        <w:rPr>
          <w:rFonts w:ascii="Arial" w:hAnsi="Arial" w:cs="Arial"/>
        </w:rPr>
        <w:t xml:space="preserve"> to decide the request</w:t>
      </w:r>
      <w:r w:rsidR="006507F7">
        <w:rPr>
          <w:rFonts w:ascii="Arial" w:hAnsi="Arial" w:cs="Arial"/>
        </w:rPr>
        <w:t>;</w:t>
      </w:r>
    </w:p>
    <w:p w14:paraId="3BD3939B" w14:textId="77777777" w:rsidR="002E49E3" w:rsidRDefault="002E49E3" w:rsidP="00ED73C2">
      <w:pPr>
        <w:numPr>
          <w:ilvl w:val="0"/>
          <w:numId w:val="15"/>
        </w:numPr>
        <w:rPr>
          <w:rFonts w:ascii="Arial" w:hAnsi="Arial" w:cs="Arial"/>
        </w:rPr>
      </w:pPr>
      <w:r w:rsidRPr="00AF7C50">
        <w:rPr>
          <w:rFonts w:ascii="Arial" w:hAnsi="Arial" w:cs="Arial"/>
        </w:rPr>
        <w:t xml:space="preserve">Determine that there is reason to </w:t>
      </w:r>
      <w:r w:rsidR="00AF7C50" w:rsidRPr="00AF7C50">
        <w:rPr>
          <w:rFonts w:ascii="Arial" w:hAnsi="Arial" w:cs="Arial"/>
        </w:rPr>
        <w:t>review</w:t>
      </w:r>
      <w:r w:rsidRPr="00AF7C50">
        <w:rPr>
          <w:rFonts w:ascii="Arial" w:hAnsi="Arial" w:cs="Arial"/>
        </w:rPr>
        <w:t xml:space="preserve"> the </w:t>
      </w:r>
      <w:r w:rsidR="00172EA6">
        <w:rPr>
          <w:rFonts w:ascii="Arial" w:hAnsi="Arial" w:cs="Arial"/>
        </w:rPr>
        <w:t>decision</w:t>
      </w:r>
      <w:r w:rsidR="00DA1724">
        <w:rPr>
          <w:rFonts w:ascii="Arial" w:hAnsi="Arial" w:cs="Arial"/>
        </w:rPr>
        <w:t>,</w:t>
      </w:r>
      <w:r w:rsidRPr="00AF7C50">
        <w:rPr>
          <w:rFonts w:ascii="Arial" w:hAnsi="Arial" w:cs="Arial"/>
        </w:rPr>
        <w:t xml:space="preserve"> </w:t>
      </w:r>
      <w:r w:rsidR="00DA1724">
        <w:rPr>
          <w:rFonts w:ascii="Arial" w:hAnsi="Arial" w:cs="Arial"/>
        </w:rPr>
        <w:t xml:space="preserve">reinstate the appeal and </w:t>
      </w:r>
      <w:r w:rsidRPr="00AF7C50">
        <w:rPr>
          <w:rFonts w:ascii="Arial" w:hAnsi="Arial" w:cs="Arial"/>
        </w:rPr>
        <w:t xml:space="preserve">order a new hearing </w:t>
      </w:r>
      <w:r w:rsidR="00AF7C50" w:rsidRPr="00AF7C50">
        <w:rPr>
          <w:rFonts w:ascii="Arial" w:hAnsi="Arial" w:cs="Arial"/>
        </w:rPr>
        <w:t xml:space="preserve">to </w:t>
      </w:r>
      <w:r w:rsidRPr="00AF7C50">
        <w:rPr>
          <w:rFonts w:ascii="Arial" w:hAnsi="Arial" w:cs="Arial"/>
        </w:rPr>
        <w:t>be scheduled</w:t>
      </w:r>
      <w:r w:rsidR="006507F7">
        <w:rPr>
          <w:rFonts w:ascii="Arial" w:hAnsi="Arial" w:cs="Arial"/>
        </w:rPr>
        <w:t>; or</w:t>
      </w:r>
    </w:p>
    <w:p w14:paraId="3ED26472" w14:textId="77777777" w:rsidR="00ED73C2" w:rsidRPr="00ED73C2" w:rsidRDefault="00ED73C2" w:rsidP="00ED73C2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Change the decision.</w:t>
      </w:r>
    </w:p>
    <w:p w14:paraId="286439AA" w14:textId="77777777" w:rsidR="002E49E3" w:rsidRPr="006507F7" w:rsidRDefault="002E49E3" w:rsidP="002E49E3">
      <w:pPr>
        <w:pStyle w:val="Heading1"/>
        <w:spacing w:before="240" w:after="240"/>
        <w:rPr>
          <w:sz w:val="28"/>
          <w:szCs w:val="28"/>
        </w:rPr>
      </w:pPr>
      <w:r w:rsidRPr="006507F7">
        <w:rPr>
          <w:sz w:val="28"/>
          <w:szCs w:val="28"/>
        </w:rPr>
        <w:t>What do I do if I</w:t>
      </w:r>
      <w:r w:rsidR="00446F75" w:rsidRPr="006507F7">
        <w:rPr>
          <w:sz w:val="28"/>
          <w:szCs w:val="28"/>
        </w:rPr>
        <w:t xml:space="preserve"> receive a copy of a Request for Review from</w:t>
      </w:r>
      <w:r w:rsidRPr="006507F7">
        <w:rPr>
          <w:sz w:val="28"/>
          <w:szCs w:val="28"/>
        </w:rPr>
        <w:t xml:space="preserve"> another party?</w:t>
      </w:r>
    </w:p>
    <w:p w14:paraId="2804F6D7" w14:textId="77777777" w:rsidR="000000F3" w:rsidRPr="001B06C5" w:rsidRDefault="000000F3" w:rsidP="000000F3">
      <w:pPr>
        <w:rPr>
          <w:rFonts w:ascii="Arial" w:hAnsi="Arial" w:cs="Arial"/>
        </w:rPr>
      </w:pPr>
      <w:r w:rsidRPr="001B06C5">
        <w:rPr>
          <w:rFonts w:ascii="Arial" w:hAnsi="Arial" w:cs="Arial"/>
        </w:rPr>
        <w:t>You do not have to do anything</w:t>
      </w:r>
      <w:r>
        <w:rPr>
          <w:rFonts w:ascii="Arial" w:hAnsi="Arial" w:cs="Arial"/>
        </w:rPr>
        <w:t>.</w:t>
      </w:r>
      <w:r w:rsidRPr="001B06C5">
        <w:rPr>
          <w:rFonts w:ascii="Arial" w:hAnsi="Arial" w:cs="Arial"/>
        </w:rPr>
        <w:t xml:space="preserve"> </w:t>
      </w:r>
      <w:r w:rsidR="006507F7">
        <w:rPr>
          <w:rFonts w:ascii="Arial" w:hAnsi="Arial" w:cs="Arial"/>
        </w:rPr>
        <w:t xml:space="preserve"> </w:t>
      </w:r>
      <w:r w:rsidRPr="001B06C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ARB </w:t>
      </w:r>
      <w:r w:rsidRPr="001B06C5">
        <w:rPr>
          <w:rFonts w:ascii="Arial" w:hAnsi="Arial" w:cs="Arial"/>
        </w:rPr>
        <w:t xml:space="preserve">will let you know if you should </w:t>
      </w:r>
      <w:r>
        <w:rPr>
          <w:rFonts w:ascii="Arial" w:hAnsi="Arial" w:cs="Arial"/>
        </w:rPr>
        <w:t xml:space="preserve">make submissions </w:t>
      </w:r>
      <w:r w:rsidR="0011283D">
        <w:rPr>
          <w:rFonts w:ascii="Arial" w:hAnsi="Arial" w:cs="Arial"/>
        </w:rPr>
        <w:t xml:space="preserve">or participate in </w:t>
      </w:r>
      <w:r w:rsidRPr="001B06C5">
        <w:rPr>
          <w:rFonts w:ascii="Arial" w:hAnsi="Arial" w:cs="Arial"/>
        </w:rPr>
        <w:t>a motion or</w:t>
      </w:r>
      <w:r>
        <w:rPr>
          <w:rFonts w:ascii="Arial" w:hAnsi="Arial" w:cs="Arial"/>
        </w:rPr>
        <w:t xml:space="preserve"> hearing.</w:t>
      </w:r>
    </w:p>
    <w:p w14:paraId="617E65E7" w14:textId="77777777" w:rsidR="002E49E3" w:rsidRPr="00446F75" w:rsidRDefault="002E49E3" w:rsidP="002E49E3">
      <w:pPr>
        <w:pStyle w:val="Heading1"/>
        <w:spacing w:before="240" w:after="240"/>
        <w:rPr>
          <w:sz w:val="28"/>
          <w:szCs w:val="28"/>
        </w:rPr>
      </w:pPr>
      <w:r w:rsidRPr="00446F75">
        <w:rPr>
          <w:sz w:val="28"/>
          <w:szCs w:val="28"/>
        </w:rPr>
        <w:t>Can I appeal an ARB decision to a higher court?</w:t>
      </w:r>
    </w:p>
    <w:p w14:paraId="491839EA" w14:textId="77777777" w:rsidR="002E49E3" w:rsidRPr="001B06C5" w:rsidRDefault="0052439A" w:rsidP="002E49E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An ARB </w:t>
      </w:r>
      <w:r w:rsidR="00AD1836">
        <w:rPr>
          <w:rFonts w:ascii="Arial" w:hAnsi="Arial" w:cs="Arial"/>
        </w:rPr>
        <w:t xml:space="preserve">decision </w:t>
      </w:r>
      <w:r w:rsidR="002E49E3" w:rsidRPr="001B06C5">
        <w:rPr>
          <w:rFonts w:ascii="Arial" w:hAnsi="Arial" w:cs="Arial"/>
        </w:rPr>
        <w:t xml:space="preserve">may be appealed to the </w:t>
      </w:r>
      <w:r w:rsidR="002E49E3" w:rsidRPr="001B06C5">
        <w:rPr>
          <w:rStyle w:val="Emphasis"/>
        </w:rPr>
        <w:t>Superior Court of Justice (Divisional Court)</w:t>
      </w:r>
      <w:r w:rsidR="002E49E3" w:rsidRPr="001B06C5">
        <w:rPr>
          <w:rFonts w:ascii="Arial" w:hAnsi="Arial" w:cs="Arial"/>
        </w:rPr>
        <w:t xml:space="preserve"> only on a question of law. </w:t>
      </w:r>
      <w:r w:rsidR="006507F7">
        <w:rPr>
          <w:rFonts w:ascii="Arial" w:hAnsi="Arial" w:cs="Arial"/>
        </w:rPr>
        <w:t xml:space="preserve"> </w:t>
      </w:r>
      <w:r w:rsidR="00172EA6">
        <w:rPr>
          <w:rFonts w:ascii="Arial" w:hAnsi="Arial" w:cs="Arial"/>
        </w:rPr>
        <w:t>Parties</w:t>
      </w:r>
      <w:r w:rsidR="00AD1836">
        <w:rPr>
          <w:rFonts w:ascii="Arial" w:hAnsi="Arial" w:cs="Arial"/>
        </w:rPr>
        <w:t xml:space="preserve"> who would like to explore this option</w:t>
      </w:r>
      <w:r w:rsidR="00172EA6">
        <w:rPr>
          <w:rFonts w:ascii="Arial" w:hAnsi="Arial" w:cs="Arial"/>
        </w:rPr>
        <w:t xml:space="preserve"> may wish to </w:t>
      </w:r>
      <w:r w:rsidR="00AD1836">
        <w:rPr>
          <w:rFonts w:ascii="Arial" w:hAnsi="Arial" w:cs="Arial"/>
        </w:rPr>
        <w:t>consult legal counsel</w:t>
      </w:r>
      <w:r w:rsidR="002E49E3" w:rsidRPr="001B06C5">
        <w:rPr>
          <w:rFonts w:ascii="Arial" w:hAnsi="Arial" w:cs="Arial"/>
        </w:rPr>
        <w:t>.</w:t>
      </w:r>
    </w:p>
    <w:p w14:paraId="4172AE88" w14:textId="77777777" w:rsidR="006507F7" w:rsidRDefault="006507F7" w:rsidP="006507F7">
      <w:pPr>
        <w:pStyle w:val="Heading1"/>
        <w:rPr>
          <w:b w:val="0"/>
          <w:bCs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3F098E0D" w14:textId="77777777" w:rsidR="00072237" w:rsidRDefault="00072237" w:rsidP="00072237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1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2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6C9B67CE" w14:textId="77777777" w:rsidR="00072237" w:rsidRPr="00CF0750" w:rsidRDefault="00072237" w:rsidP="00072237"/>
    <w:p w14:paraId="20EA36EF" w14:textId="77777777" w:rsidR="00072237" w:rsidRDefault="00072237" w:rsidP="00072237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7FFE022D" w14:textId="77777777" w:rsidR="006507F7" w:rsidRPr="00025B85" w:rsidRDefault="006507F7" w:rsidP="006507F7">
      <w:pPr>
        <w:spacing w:before="240" w:after="240"/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1AE73BA2" w14:textId="7A1E970A" w:rsidR="00072237" w:rsidRDefault="00072237" w:rsidP="00072237">
      <w:pPr>
        <w:rPr>
          <w:rFonts w:ascii="Arial" w:hAnsi="Arial" w:cs="Arial"/>
          <w:lang w:val="en-US" w:eastAsia="en-CA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</w:t>
      </w:r>
      <w:r w:rsidRPr="00FC7F43">
        <w:rPr>
          <w:rFonts w:ascii="Arial" w:hAnsi="Arial" w:cs="Arial"/>
          <w:lang w:val="en-US" w:eastAsia="en-CA"/>
        </w:rPr>
        <w:lastRenderedPageBreak/>
        <w:t>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3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4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02954A5B" w14:textId="345231F1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5052BCD3" w14:textId="1122C611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7E1544BA" w14:textId="10FA8983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767A1677" w14:textId="44BCD60E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1B6CB69F" w14:textId="34A6BBF1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7B84DFA5" w14:textId="3384A7A4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3200B3C" w14:textId="7F5BA94D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7A7AEB21" w14:textId="589B4101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5719B27B" w14:textId="0FE100D6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45E9D7A6" w14:textId="3702E734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56C7EF3" w14:textId="2E4EE793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2416CE31" w14:textId="19F0F4D6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4BED70B6" w14:textId="6F09CE15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6633DEE8" w14:textId="6EFB5E0B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3C53BE30" w14:textId="73B40A61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5CFF2E5D" w14:textId="44A27AD4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284EF713" w14:textId="7869687E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7EDAACBF" w14:textId="262208B6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2B4E232" w14:textId="705654DA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3B023459" w14:textId="5E9EFC31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143DD70B" w14:textId="236F8269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7EABF94" w14:textId="53C4448A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2B864FAE" w14:textId="5AAB8F1D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29E41A0" w14:textId="0C4854CB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4DE9B608" w14:textId="19F929EA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6C9B879" w14:textId="03B6B1DC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12D1E55E" w14:textId="19591394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529162D8" w14:textId="77777777" w:rsidR="0037401C" w:rsidRDefault="0037401C" w:rsidP="00072237">
      <w:pPr>
        <w:rPr>
          <w:rFonts w:ascii="Arial" w:hAnsi="Arial" w:cs="Arial"/>
          <w:lang w:val="en-US" w:eastAsia="en-CA"/>
        </w:rPr>
      </w:pPr>
    </w:p>
    <w:p w14:paraId="0A57B2F1" w14:textId="77777777" w:rsidR="00072237" w:rsidRDefault="00072237" w:rsidP="00072237">
      <w:pPr>
        <w:rPr>
          <w:color w:val="FFFFFF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017CF4" w14:paraId="6420E14F" w14:textId="77777777" w:rsidTr="00017CF4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58512DC" w14:textId="77777777" w:rsidR="00017CF4" w:rsidRDefault="00017CF4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6E811C85" wp14:editId="6A300BFB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5E0" w14:textId="77777777" w:rsidR="00017CF4" w:rsidRDefault="00017CF4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2B1E280E" w14:textId="77777777" w:rsidR="00017CF4" w:rsidRDefault="00017CF4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3EF36738" w14:textId="77777777" w:rsidR="00017CF4" w:rsidRDefault="00017CF4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1ACBA9C9" w14:textId="77777777" w:rsidR="00017CF4" w:rsidRDefault="00017CF4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123D40B7" w14:textId="77777777" w:rsidR="00017CF4" w:rsidRDefault="00017CF4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52E864E7" w14:textId="77777777" w:rsidR="00017CF4" w:rsidRDefault="00017CF4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3873C324" w14:textId="77777777" w:rsidR="00017CF4" w:rsidRDefault="00017CF4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6C4A30C4" w14:textId="794B3F80" w:rsidR="00017CF4" w:rsidRDefault="00072237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07282AC8" w14:textId="2AFDDFF9" w:rsidR="004206E1" w:rsidRPr="004206E1" w:rsidRDefault="00017CF4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6" w:history="1">
              <w:r w:rsidR="004206E1" w:rsidRPr="004206E1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5CD7F6B8" w14:textId="77777777" w:rsidR="00017CF4" w:rsidRDefault="00017CF4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5C708630" w14:textId="77777777" w:rsidR="00EC3C89" w:rsidRPr="00116689" w:rsidRDefault="00EC3C89" w:rsidP="002A386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Cs w:val="22"/>
          <w:lang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017CF4" w:rsidRPr="0037401C" w14:paraId="3F250AC3" w14:textId="77777777" w:rsidTr="00BF57FD">
        <w:trPr>
          <w:trHeight w:val="352"/>
        </w:trPr>
        <w:tc>
          <w:tcPr>
            <w:tcW w:w="5398" w:type="dxa"/>
            <w:hideMark/>
          </w:tcPr>
          <w:p w14:paraId="63D8CE41" w14:textId="77777777" w:rsidR="00017CF4" w:rsidRPr="0021626E" w:rsidRDefault="00017CF4" w:rsidP="00BF57FD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21626E">
              <w:rPr>
                <w:rFonts w:ascii="Arial" w:hAnsi="Arial" w:cs="Arial"/>
                <w:sz w:val="16"/>
                <w:lang w:val="en-CA"/>
              </w:rPr>
              <w:t>ISBN 978-1-4435-8448-7 / © Queen’s printer for Ontario, 2017</w:t>
            </w:r>
          </w:p>
        </w:tc>
        <w:tc>
          <w:tcPr>
            <w:tcW w:w="5402" w:type="dxa"/>
            <w:hideMark/>
          </w:tcPr>
          <w:p w14:paraId="0F6D8642" w14:textId="77777777" w:rsidR="00017CF4" w:rsidRPr="0021626E" w:rsidRDefault="00017CF4" w:rsidP="00BF57FD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21626E">
              <w:rPr>
                <w:rFonts w:ascii="Arial" w:hAnsi="Arial" w:cs="Arial"/>
                <w:sz w:val="16"/>
                <w:lang w:val="fr-CA"/>
              </w:rPr>
              <w:t xml:space="preserve">Disponible en français: </w:t>
            </w:r>
            <w:r w:rsidRPr="0021626E">
              <w:rPr>
                <w:rFonts w:ascii="Arial" w:hAnsi="Arial" w:cs="Arial"/>
                <w:sz w:val="16"/>
                <w:szCs w:val="16"/>
                <w:lang w:val="fr-CA"/>
              </w:rPr>
              <w:t xml:space="preserve">Voici ce que vous devez savoir sur le processus  </w:t>
            </w:r>
          </w:p>
          <w:p w14:paraId="77C44201" w14:textId="77777777" w:rsidR="00017CF4" w:rsidRPr="0021626E" w:rsidRDefault="00017CF4" w:rsidP="00BF57FD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proofErr w:type="gramStart"/>
            <w:r w:rsidRPr="0021626E">
              <w:rPr>
                <w:rFonts w:ascii="Arial" w:hAnsi="Arial" w:cs="Arial"/>
                <w:sz w:val="16"/>
                <w:szCs w:val="16"/>
                <w:lang w:val="fr-CA"/>
              </w:rPr>
              <w:t>régissant</w:t>
            </w:r>
            <w:proofErr w:type="gramEnd"/>
            <w:r w:rsidRPr="0021626E">
              <w:rPr>
                <w:rFonts w:ascii="Arial" w:hAnsi="Arial" w:cs="Arial"/>
                <w:sz w:val="16"/>
                <w:szCs w:val="16"/>
                <w:lang w:val="fr-CA"/>
              </w:rPr>
              <w:t xml:space="preserve"> les demandes de réexamen d’une décision</w:t>
            </w:r>
          </w:p>
        </w:tc>
      </w:tr>
    </w:tbl>
    <w:p w14:paraId="0B1AB1FC" w14:textId="77777777" w:rsidR="00017CF4" w:rsidRPr="00017CF4" w:rsidRDefault="00017CF4" w:rsidP="002A386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Cs w:val="22"/>
          <w:lang w:val="fr-CA" w:eastAsia="en-CA"/>
        </w:rPr>
      </w:pPr>
    </w:p>
    <w:sectPr w:rsidR="00017CF4" w:rsidRPr="00017CF4" w:rsidSect="00E015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542C" w14:textId="77777777" w:rsidR="0063117C" w:rsidRDefault="0063117C">
      <w:r>
        <w:separator/>
      </w:r>
    </w:p>
  </w:endnote>
  <w:endnote w:type="continuationSeparator" w:id="0">
    <w:p w14:paraId="74923236" w14:textId="77777777" w:rsidR="0063117C" w:rsidRDefault="0063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EE8F" w14:textId="77777777" w:rsidR="00116689" w:rsidRDefault="00116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2CDC" w14:textId="77777777" w:rsidR="000D2DBA" w:rsidRPr="00685B8A" w:rsidRDefault="000D2DBA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>A</w:t>
    </w:r>
    <w:r w:rsidR="0011283D">
      <w:rPr>
        <w:rFonts w:ascii="Arial" w:hAnsi="Arial" w:cs="Arial"/>
        <w:sz w:val="20"/>
        <w:szCs w:val="20"/>
      </w:rPr>
      <w:t>RB Information Sheet</w:t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Fonts w:ascii="Arial" w:hAnsi="Arial" w:cs="Arial"/>
        <w:sz w:val="20"/>
        <w:szCs w:val="20"/>
      </w:rPr>
      <w:tab/>
    </w:r>
    <w:r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D37235">
      <w:rPr>
        <w:rStyle w:val="PageNumber"/>
        <w:rFonts w:ascii="Arial" w:hAnsi="Arial" w:cs="Arial"/>
        <w:noProof/>
        <w:sz w:val="20"/>
        <w:szCs w:val="20"/>
      </w:rPr>
      <w:t>3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  <w:r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D37235">
      <w:rPr>
        <w:rStyle w:val="PageNumber"/>
        <w:rFonts w:ascii="Arial" w:hAnsi="Arial" w:cs="Arial"/>
        <w:noProof/>
        <w:sz w:val="20"/>
        <w:szCs w:val="20"/>
      </w:rPr>
      <w:t>3</w:t>
    </w:r>
    <w:r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3848" w14:textId="77777777" w:rsidR="00116689" w:rsidRDefault="00116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3163" w14:textId="77777777" w:rsidR="0063117C" w:rsidRDefault="0063117C">
      <w:r>
        <w:separator/>
      </w:r>
    </w:p>
  </w:footnote>
  <w:footnote w:type="continuationSeparator" w:id="0">
    <w:p w14:paraId="34CE92E6" w14:textId="77777777" w:rsidR="0063117C" w:rsidRDefault="0063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C3BF" w14:textId="77777777" w:rsidR="00116689" w:rsidRDefault="00116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7195" w14:textId="77777777" w:rsidR="00116689" w:rsidRDefault="001166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BC78" w14:textId="77777777" w:rsidR="00116689" w:rsidRDefault="00116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AFC7876"/>
    <w:multiLevelType w:val="hybridMultilevel"/>
    <w:tmpl w:val="199E3D9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55E2"/>
    <w:multiLevelType w:val="hybridMultilevel"/>
    <w:tmpl w:val="25B2627A"/>
    <w:lvl w:ilvl="0" w:tplc="953C90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5A037EFD"/>
    <w:multiLevelType w:val="hybridMultilevel"/>
    <w:tmpl w:val="02C23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5FFB7636"/>
    <w:multiLevelType w:val="hybridMultilevel"/>
    <w:tmpl w:val="B100CA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30C4D"/>
    <w:multiLevelType w:val="hybridMultilevel"/>
    <w:tmpl w:val="BCCEA5B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27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EB0C0F"/>
    <w:multiLevelType w:val="hybridMultilevel"/>
    <w:tmpl w:val="BCDA95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11"/>
  </w:num>
  <w:num w:numId="9">
    <w:abstractNumId w:val="14"/>
  </w:num>
  <w:num w:numId="10">
    <w:abstractNumId w:val="0"/>
  </w:num>
  <w:num w:numId="11">
    <w:abstractNumId w:val="17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19"/>
  </w:num>
  <w:num w:numId="17">
    <w:abstractNumId w:val="15"/>
  </w:num>
  <w:num w:numId="18">
    <w:abstractNumId w:val="5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00F3"/>
    <w:rsid w:val="00017CF4"/>
    <w:rsid w:val="00022A4D"/>
    <w:rsid w:val="000319A8"/>
    <w:rsid w:val="0003501F"/>
    <w:rsid w:val="000609E0"/>
    <w:rsid w:val="00072237"/>
    <w:rsid w:val="00077538"/>
    <w:rsid w:val="000831A0"/>
    <w:rsid w:val="00083C58"/>
    <w:rsid w:val="000879F8"/>
    <w:rsid w:val="00096182"/>
    <w:rsid w:val="000A33F3"/>
    <w:rsid w:val="000B245B"/>
    <w:rsid w:val="000C1054"/>
    <w:rsid w:val="000D2DBA"/>
    <w:rsid w:val="000E39BB"/>
    <w:rsid w:val="000E6536"/>
    <w:rsid w:val="000F60A6"/>
    <w:rsid w:val="000F6635"/>
    <w:rsid w:val="00100C34"/>
    <w:rsid w:val="0011283D"/>
    <w:rsid w:val="00114286"/>
    <w:rsid w:val="00114FC7"/>
    <w:rsid w:val="00116689"/>
    <w:rsid w:val="001361A9"/>
    <w:rsid w:val="001511FD"/>
    <w:rsid w:val="00161ED0"/>
    <w:rsid w:val="00166CC2"/>
    <w:rsid w:val="00172EA6"/>
    <w:rsid w:val="00174FB6"/>
    <w:rsid w:val="00181493"/>
    <w:rsid w:val="0019539A"/>
    <w:rsid w:val="001A4101"/>
    <w:rsid w:val="001A4F2F"/>
    <w:rsid w:val="001A4F88"/>
    <w:rsid w:val="001B06C5"/>
    <w:rsid w:val="001B45D0"/>
    <w:rsid w:val="001E045A"/>
    <w:rsid w:val="001E0F04"/>
    <w:rsid w:val="001E0F99"/>
    <w:rsid w:val="00201661"/>
    <w:rsid w:val="0021626E"/>
    <w:rsid w:val="002234DD"/>
    <w:rsid w:val="00224705"/>
    <w:rsid w:val="00231EFF"/>
    <w:rsid w:val="00236E43"/>
    <w:rsid w:val="00244770"/>
    <w:rsid w:val="00257C1E"/>
    <w:rsid w:val="00261AA1"/>
    <w:rsid w:val="002625EF"/>
    <w:rsid w:val="0029172B"/>
    <w:rsid w:val="00293710"/>
    <w:rsid w:val="002A3865"/>
    <w:rsid w:val="002E49E3"/>
    <w:rsid w:val="002F03A2"/>
    <w:rsid w:val="002F1CC7"/>
    <w:rsid w:val="00316D91"/>
    <w:rsid w:val="003212C0"/>
    <w:rsid w:val="00331E07"/>
    <w:rsid w:val="00333BD9"/>
    <w:rsid w:val="00346FF0"/>
    <w:rsid w:val="00347271"/>
    <w:rsid w:val="003638E2"/>
    <w:rsid w:val="00365517"/>
    <w:rsid w:val="00371BD6"/>
    <w:rsid w:val="00371F09"/>
    <w:rsid w:val="00373168"/>
    <w:rsid w:val="00373A01"/>
    <w:rsid w:val="0037401C"/>
    <w:rsid w:val="00377990"/>
    <w:rsid w:val="00395CE2"/>
    <w:rsid w:val="003A1801"/>
    <w:rsid w:val="003A21E8"/>
    <w:rsid w:val="003E795F"/>
    <w:rsid w:val="00406B28"/>
    <w:rsid w:val="004070BC"/>
    <w:rsid w:val="004206E1"/>
    <w:rsid w:val="00422CE4"/>
    <w:rsid w:val="00425587"/>
    <w:rsid w:val="00426CC6"/>
    <w:rsid w:val="0043189F"/>
    <w:rsid w:val="004401EF"/>
    <w:rsid w:val="00441034"/>
    <w:rsid w:val="0044649A"/>
    <w:rsid w:val="00446F75"/>
    <w:rsid w:val="00467D4E"/>
    <w:rsid w:val="004733D2"/>
    <w:rsid w:val="00474014"/>
    <w:rsid w:val="004A0BB7"/>
    <w:rsid w:val="004E4786"/>
    <w:rsid w:val="004F00CB"/>
    <w:rsid w:val="00507DC4"/>
    <w:rsid w:val="00514D79"/>
    <w:rsid w:val="0052439A"/>
    <w:rsid w:val="00530030"/>
    <w:rsid w:val="00540AFF"/>
    <w:rsid w:val="00551DC2"/>
    <w:rsid w:val="00555954"/>
    <w:rsid w:val="00566DA6"/>
    <w:rsid w:val="00581A12"/>
    <w:rsid w:val="00592E8D"/>
    <w:rsid w:val="005A2AAE"/>
    <w:rsid w:val="005B2FD9"/>
    <w:rsid w:val="005B3FD2"/>
    <w:rsid w:val="005C6FFD"/>
    <w:rsid w:val="005D3C97"/>
    <w:rsid w:val="005E2428"/>
    <w:rsid w:val="005E5674"/>
    <w:rsid w:val="005F686D"/>
    <w:rsid w:val="006025A9"/>
    <w:rsid w:val="0061708E"/>
    <w:rsid w:val="00617B8F"/>
    <w:rsid w:val="00620938"/>
    <w:rsid w:val="00625AB6"/>
    <w:rsid w:val="0063117C"/>
    <w:rsid w:val="006473B3"/>
    <w:rsid w:val="006507F7"/>
    <w:rsid w:val="00652A3F"/>
    <w:rsid w:val="00667EF0"/>
    <w:rsid w:val="00673C64"/>
    <w:rsid w:val="00682CCB"/>
    <w:rsid w:val="00685B8A"/>
    <w:rsid w:val="006930A9"/>
    <w:rsid w:val="00697F9F"/>
    <w:rsid w:val="006A1236"/>
    <w:rsid w:val="006A2F4D"/>
    <w:rsid w:val="006A414A"/>
    <w:rsid w:val="006D16F3"/>
    <w:rsid w:val="006D6995"/>
    <w:rsid w:val="006E39F3"/>
    <w:rsid w:val="006E78F2"/>
    <w:rsid w:val="006F1CDE"/>
    <w:rsid w:val="006F40A6"/>
    <w:rsid w:val="00701C84"/>
    <w:rsid w:val="00724430"/>
    <w:rsid w:val="00742E11"/>
    <w:rsid w:val="00767434"/>
    <w:rsid w:val="00785B55"/>
    <w:rsid w:val="007964C9"/>
    <w:rsid w:val="007D143C"/>
    <w:rsid w:val="007E2E02"/>
    <w:rsid w:val="008116CA"/>
    <w:rsid w:val="008341C0"/>
    <w:rsid w:val="00834CD4"/>
    <w:rsid w:val="008461A1"/>
    <w:rsid w:val="0085633D"/>
    <w:rsid w:val="00857CA1"/>
    <w:rsid w:val="008605C5"/>
    <w:rsid w:val="00874178"/>
    <w:rsid w:val="008758EA"/>
    <w:rsid w:val="00882C5A"/>
    <w:rsid w:val="008960C2"/>
    <w:rsid w:val="008A0EBB"/>
    <w:rsid w:val="008B677D"/>
    <w:rsid w:val="008C173F"/>
    <w:rsid w:val="008E1D13"/>
    <w:rsid w:val="008E2FD0"/>
    <w:rsid w:val="008F70D0"/>
    <w:rsid w:val="00905844"/>
    <w:rsid w:val="009142D2"/>
    <w:rsid w:val="009171F4"/>
    <w:rsid w:val="009207EB"/>
    <w:rsid w:val="00926E7E"/>
    <w:rsid w:val="00927A2B"/>
    <w:rsid w:val="00973231"/>
    <w:rsid w:val="0099773C"/>
    <w:rsid w:val="009B5B92"/>
    <w:rsid w:val="009D1CF0"/>
    <w:rsid w:val="009E011A"/>
    <w:rsid w:val="009F272A"/>
    <w:rsid w:val="00A02767"/>
    <w:rsid w:val="00A02EE8"/>
    <w:rsid w:val="00A07C2F"/>
    <w:rsid w:val="00A15631"/>
    <w:rsid w:val="00A2038F"/>
    <w:rsid w:val="00A47D81"/>
    <w:rsid w:val="00A53E68"/>
    <w:rsid w:val="00A5506B"/>
    <w:rsid w:val="00A56ABE"/>
    <w:rsid w:val="00A6207A"/>
    <w:rsid w:val="00A77017"/>
    <w:rsid w:val="00A77E80"/>
    <w:rsid w:val="00AA06D3"/>
    <w:rsid w:val="00AD1836"/>
    <w:rsid w:val="00AF1603"/>
    <w:rsid w:val="00AF5AB8"/>
    <w:rsid w:val="00AF7C50"/>
    <w:rsid w:val="00B00AFB"/>
    <w:rsid w:val="00B10DCA"/>
    <w:rsid w:val="00B31DC2"/>
    <w:rsid w:val="00B46E4A"/>
    <w:rsid w:val="00B57D3E"/>
    <w:rsid w:val="00B667DE"/>
    <w:rsid w:val="00B82264"/>
    <w:rsid w:val="00B84BF5"/>
    <w:rsid w:val="00B92CC8"/>
    <w:rsid w:val="00BA01A3"/>
    <w:rsid w:val="00BC0C95"/>
    <w:rsid w:val="00BC40AD"/>
    <w:rsid w:val="00BD0AA0"/>
    <w:rsid w:val="00BE2F06"/>
    <w:rsid w:val="00BE5910"/>
    <w:rsid w:val="00BF08D4"/>
    <w:rsid w:val="00BF25BD"/>
    <w:rsid w:val="00C0454D"/>
    <w:rsid w:val="00C1665A"/>
    <w:rsid w:val="00C53301"/>
    <w:rsid w:val="00C54F3A"/>
    <w:rsid w:val="00C63D48"/>
    <w:rsid w:val="00C64BB2"/>
    <w:rsid w:val="00C77848"/>
    <w:rsid w:val="00C925CE"/>
    <w:rsid w:val="00C937E6"/>
    <w:rsid w:val="00CC112C"/>
    <w:rsid w:val="00CC5C00"/>
    <w:rsid w:val="00D03049"/>
    <w:rsid w:val="00D04F73"/>
    <w:rsid w:val="00D06F7E"/>
    <w:rsid w:val="00D37235"/>
    <w:rsid w:val="00D45C57"/>
    <w:rsid w:val="00D64F3A"/>
    <w:rsid w:val="00D91708"/>
    <w:rsid w:val="00D9489A"/>
    <w:rsid w:val="00DA1724"/>
    <w:rsid w:val="00DC564D"/>
    <w:rsid w:val="00DF1501"/>
    <w:rsid w:val="00DF2184"/>
    <w:rsid w:val="00E015A7"/>
    <w:rsid w:val="00E07986"/>
    <w:rsid w:val="00E45036"/>
    <w:rsid w:val="00E53630"/>
    <w:rsid w:val="00E53A5A"/>
    <w:rsid w:val="00E845EA"/>
    <w:rsid w:val="00E95D8B"/>
    <w:rsid w:val="00EA1B62"/>
    <w:rsid w:val="00EB1061"/>
    <w:rsid w:val="00EB3E97"/>
    <w:rsid w:val="00EC3C89"/>
    <w:rsid w:val="00EC65DF"/>
    <w:rsid w:val="00EC76C0"/>
    <w:rsid w:val="00ED73C2"/>
    <w:rsid w:val="00ED7541"/>
    <w:rsid w:val="00EE3BE8"/>
    <w:rsid w:val="00EE6AF7"/>
    <w:rsid w:val="00F05B98"/>
    <w:rsid w:val="00F0604E"/>
    <w:rsid w:val="00F2481C"/>
    <w:rsid w:val="00F31063"/>
    <w:rsid w:val="00F5667C"/>
    <w:rsid w:val="00F613FE"/>
    <w:rsid w:val="00F77637"/>
    <w:rsid w:val="00F93BB8"/>
    <w:rsid w:val="00F966A6"/>
    <w:rsid w:val="00FC4F57"/>
    <w:rsid w:val="00FC5E5A"/>
    <w:rsid w:val="00FF056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31FB4652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6C5"/>
    <w:p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character" w:styleId="CommentReference">
    <w:name w:val="annotation reference"/>
    <w:rsid w:val="00F06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04E"/>
    <w:rPr>
      <w:sz w:val="20"/>
      <w:szCs w:val="20"/>
    </w:rPr>
  </w:style>
  <w:style w:type="character" w:customStyle="1" w:styleId="CommentTextChar">
    <w:name w:val="Comment Text Char"/>
    <w:link w:val="CommentText"/>
    <w:rsid w:val="00F060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604E"/>
    <w:rPr>
      <w:b/>
      <w:bCs/>
    </w:rPr>
  </w:style>
  <w:style w:type="character" w:customStyle="1" w:styleId="CommentSubjectChar">
    <w:name w:val="Comment Subject Char"/>
    <w:link w:val="CommentSubject"/>
    <w:rsid w:val="00F0604E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1B06C5"/>
    <w:pPr>
      <w:autoSpaceDE w:val="0"/>
      <w:autoSpaceDN w:val="0"/>
      <w:adjustRightInd w:val="0"/>
    </w:pPr>
    <w:rPr>
      <w:rFonts w:ascii="Arial" w:hAnsi="Arial" w:cs="Arial"/>
      <w:b/>
      <w:sz w:val="28"/>
      <w:szCs w:val="28"/>
      <w:lang w:val="en-US"/>
    </w:rPr>
  </w:style>
  <w:style w:type="character" w:customStyle="1" w:styleId="TitleChar">
    <w:name w:val="Title Char"/>
    <w:link w:val="Title"/>
    <w:rsid w:val="001B06C5"/>
    <w:rPr>
      <w:rFonts w:ascii="Arial" w:hAnsi="Arial" w:cs="Arial"/>
      <w:b/>
      <w:sz w:val="28"/>
      <w:szCs w:val="28"/>
      <w:lang w:val="en-US" w:eastAsia="en-US"/>
    </w:rPr>
  </w:style>
  <w:style w:type="character" w:styleId="Emphasis">
    <w:name w:val="Emphasis"/>
    <w:qFormat/>
    <w:rsid w:val="001B06C5"/>
    <w:rPr>
      <w:rFonts w:ascii="Arial" w:hAnsi="Arial" w:cs="Arial"/>
      <w:b/>
    </w:rPr>
  </w:style>
  <w:style w:type="paragraph" w:styleId="NoSpacing">
    <w:name w:val="No Spacing"/>
    <w:uiPriority w:val="1"/>
    <w:qFormat/>
    <w:rsid w:val="00E95D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3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74FB6"/>
    <w:rPr>
      <w:rFonts w:ascii="Arial" w:hAnsi="Arial" w:cs="Arial"/>
      <w:b/>
      <w:sz w:val="24"/>
      <w:szCs w:val="24"/>
      <w:lang w:eastAsia="en-US"/>
    </w:rPr>
  </w:style>
  <w:style w:type="table" w:styleId="TableGrid">
    <w:name w:val="Table Grid"/>
    <w:basedOn w:val="TableNormal"/>
    <w:rsid w:val="0021626E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ibunalsontario.ca/arb/legislation-and-rule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rb.registrar@ontario.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ribunalsontario.ca/arb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tribunalsontario.ca/arb/information-shee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arb.registrar@ontario.c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38C8-47BB-4312-8D92-EEF76A7F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5500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12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13</cp:revision>
  <cp:lastPrinted>2021-10-07T16:03:00Z</cp:lastPrinted>
  <dcterms:created xsi:type="dcterms:W3CDTF">2020-06-19T18:19:00Z</dcterms:created>
  <dcterms:modified xsi:type="dcterms:W3CDTF">2023-06-08T13:01:00Z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2021-10-06T15:30:22Z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8f4afd03-df6f-438f-b49d-9388ebb69955</vt:lpwstr>
  </property>
  <property fmtid="{D5CDD505-2E9C-101B-9397-08002B2CF9AE}" pid="8" name="MSIP_Label_034a106e-6316-442c-ad35-738afd673d2b_ContentBits">
    <vt:lpwstr>0</vt:lpwstr>
  </property>
</Properties>
</file>