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D65A" w14:textId="290A9DBF" w:rsidR="0024000B" w:rsidRDefault="0024000B" w:rsidP="0024000B">
      <w:r>
        <w:rPr>
          <w:noProof/>
        </w:rPr>
        <w:drawing>
          <wp:inline distT="0" distB="0" distL="0" distR="0" wp14:anchorId="17526F0C" wp14:editId="507ADDD9">
            <wp:extent cx="3136392" cy="77724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7D454" w14:textId="77777777" w:rsidR="00F2799C" w:rsidRPr="00C0656C" w:rsidRDefault="00F2799C" w:rsidP="00F2799C">
      <w:pPr>
        <w:spacing w:after="120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(Disponible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en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français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23C2761A" w14:textId="5503CB2E" w:rsidR="003406F7" w:rsidRDefault="00CA10C5" w:rsidP="0024000B">
      <w:pPr>
        <w:pStyle w:val="Title"/>
        <w:jc w:val="center"/>
      </w:pPr>
      <w:r>
        <w:t>P</w:t>
      </w:r>
      <w:r w:rsidR="003170DD">
        <w:t>arties to a</w:t>
      </w:r>
      <w:r>
        <w:t xml:space="preserve">n Appeal: </w:t>
      </w:r>
      <w:r w:rsidR="003170DD">
        <w:t xml:space="preserve">The </w:t>
      </w:r>
      <w:r w:rsidR="00711F08">
        <w:t xml:space="preserve">Property </w:t>
      </w:r>
      <w:r w:rsidR="005D06BB">
        <w:t>Owner</w:t>
      </w:r>
      <w:r>
        <w:t xml:space="preserve">, </w:t>
      </w:r>
      <w:r w:rsidR="003170DD">
        <w:t xml:space="preserve">the </w:t>
      </w:r>
      <w:r>
        <w:t>M</w:t>
      </w:r>
      <w:r w:rsidR="003170DD">
        <w:t xml:space="preserve">unicipal </w:t>
      </w:r>
      <w:r>
        <w:t>P</w:t>
      </w:r>
      <w:r w:rsidR="003170DD">
        <w:t xml:space="preserve">roperty </w:t>
      </w:r>
      <w:r>
        <w:t>A</w:t>
      </w:r>
      <w:r w:rsidR="003170DD">
        <w:t xml:space="preserve">ssessment </w:t>
      </w:r>
      <w:r>
        <w:t>C</w:t>
      </w:r>
      <w:r w:rsidR="003170DD">
        <w:t>orporation</w:t>
      </w:r>
      <w:r>
        <w:t>, and</w:t>
      </w:r>
      <w:r w:rsidR="003170DD">
        <w:t xml:space="preserve"> the </w:t>
      </w:r>
      <w:r w:rsidR="00D27176">
        <w:t>Municipalit</w:t>
      </w:r>
      <w:r w:rsidR="003170DD">
        <w:t>y</w:t>
      </w:r>
    </w:p>
    <w:p w14:paraId="75171CDE" w14:textId="77777777" w:rsidR="0024000B" w:rsidRPr="0024000B" w:rsidRDefault="0024000B" w:rsidP="0024000B"/>
    <w:p w14:paraId="76399963" w14:textId="2ED65CE0" w:rsidR="003406F7" w:rsidRPr="00307A19" w:rsidRDefault="003170DD" w:rsidP="009263C2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Who are the parties to an appeal?</w:t>
      </w:r>
    </w:p>
    <w:p w14:paraId="73E39350" w14:textId="77777777" w:rsidR="009263C2" w:rsidRDefault="009263C2" w:rsidP="009263C2">
      <w:pPr>
        <w:rPr>
          <w:rFonts w:ascii="Arial" w:hAnsi="Arial" w:cs="Arial"/>
        </w:rPr>
      </w:pPr>
    </w:p>
    <w:p w14:paraId="40329E48" w14:textId="0D03153A" w:rsidR="009263C2" w:rsidRPr="009263C2" w:rsidRDefault="009263C2" w:rsidP="00926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usual parties to an </w:t>
      </w:r>
      <w:r w:rsidRPr="00271665">
        <w:rPr>
          <w:rFonts w:ascii="Arial" w:hAnsi="Arial" w:cs="Arial"/>
        </w:rPr>
        <w:t>Assessment Act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appeal before the Assessment Review Board (ARB) are the person whose property is assessed under the </w:t>
      </w:r>
      <w:r w:rsidRPr="00916A9A">
        <w:rPr>
          <w:rFonts w:ascii="Arial" w:hAnsi="Arial" w:cs="Arial"/>
        </w:rPr>
        <w:t>Assessment Act,</w:t>
      </w:r>
      <w:r>
        <w:rPr>
          <w:rFonts w:ascii="Arial" w:hAnsi="Arial" w:cs="Arial"/>
        </w:rPr>
        <w:t xml:space="preserve"> the Municipal Property Assessment Corporation (MPAC), and the municipality in which the property is located.  </w:t>
      </w:r>
      <w:r w:rsidR="00265007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tax appeals, the parties are the </w:t>
      </w:r>
      <w:r w:rsidR="00265007">
        <w:rPr>
          <w:rFonts w:ascii="Arial" w:hAnsi="Arial" w:cs="Arial"/>
        </w:rPr>
        <w:t xml:space="preserve">people </w:t>
      </w:r>
      <w:r>
        <w:rPr>
          <w:rFonts w:ascii="Arial" w:hAnsi="Arial" w:cs="Arial"/>
        </w:rPr>
        <w:t>appealing and the municipality.</w:t>
      </w:r>
    </w:p>
    <w:p w14:paraId="5BCA7193" w14:textId="77777777" w:rsidR="009263C2" w:rsidRDefault="009263C2" w:rsidP="009263C2">
      <w:pPr>
        <w:rPr>
          <w:rFonts w:ascii="Arial" w:hAnsi="Arial" w:cs="Arial"/>
        </w:rPr>
      </w:pPr>
    </w:p>
    <w:p w14:paraId="4337BFFD" w14:textId="53B1A793" w:rsidR="00D27176" w:rsidRPr="005D06BB" w:rsidRDefault="009263C2" w:rsidP="009263C2">
      <w:pPr>
        <w:rPr>
          <w:rFonts w:ascii="Arial" w:hAnsi="Arial" w:cs="Arial"/>
        </w:rPr>
      </w:pPr>
      <w:r>
        <w:rPr>
          <w:rFonts w:ascii="Arial" w:hAnsi="Arial" w:cs="Arial"/>
        </w:rPr>
        <w:t>All parties are</w:t>
      </w:r>
      <w:r w:rsidR="00E033FC">
        <w:rPr>
          <w:rFonts w:ascii="Arial" w:hAnsi="Arial" w:cs="Arial"/>
        </w:rPr>
        <w:t xml:space="preserve"> required </w:t>
      </w:r>
      <w:r>
        <w:rPr>
          <w:rFonts w:ascii="Arial" w:hAnsi="Arial" w:cs="Arial"/>
        </w:rPr>
        <w:t xml:space="preserve">to </w:t>
      </w:r>
      <w:r w:rsidR="00E033FC">
        <w:rPr>
          <w:rFonts w:ascii="Arial" w:hAnsi="Arial" w:cs="Arial"/>
        </w:rPr>
        <w:t>comply</w:t>
      </w:r>
      <w:r w:rsidR="00114B16">
        <w:rPr>
          <w:rFonts w:ascii="Arial" w:hAnsi="Arial" w:cs="Arial"/>
        </w:rPr>
        <w:t xml:space="preserve"> </w:t>
      </w:r>
      <w:r w:rsidR="00E033FC">
        <w:rPr>
          <w:rFonts w:ascii="Arial" w:hAnsi="Arial" w:cs="Arial"/>
        </w:rPr>
        <w:t xml:space="preserve">with the ARB’s </w:t>
      </w:r>
      <w:r w:rsidR="00E033FC" w:rsidRPr="005D06BB">
        <w:rPr>
          <w:rFonts w:ascii="Arial" w:hAnsi="Arial" w:cs="Arial"/>
        </w:rPr>
        <w:t>Rules of Practice</w:t>
      </w:r>
      <w:r w:rsidR="0086454B" w:rsidRPr="005D06BB">
        <w:rPr>
          <w:rFonts w:ascii="Arial" w:hAnsi="Arial" w:cs="Arial"/>
        </w:rPr>
        <w:t xml:space="preserve"> and Procedure</w:t>
      </w:r>
      <w:r w:rsidRPr="005D06BB">
        <w:rPr>
          <w:rFonts w:ascii="Arial" w:hAnsi="Arial" w:cs="Arial"/>
        </w:rPr>
        <w:t>.</w:t>
      </w:r>
      <w:r w:rsidR="008227AD" w:rsidRPr="005D06BB">
        <w:rPr>
          <w:rFonts w:ascii="Arial" w:hAnsi="Arial" w:cs="Arial"/>
        </w:rPr>
        <w:t xml:space="preserve"> </w:t>
      </w:r>
    </w:p>
    <w:p w14:paraId="7C9765AF" w14:textId="77777777" w:rsidR="009263C2" w:rsidRDefault="009263C2" w:rsidP="00DD6544"/>
    <w:p w14:paraId="1C311539" w14:textId="1CF8A364" w:rsidR="009263C2" w:rsidRDefault="00FA7464" w:rsidP="009263C2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What is the role </w:t>
      </w:r>
      <w:r w:rsidR="00B80D3A">
        <w:rPr>
          <w:sz w:val="28"/>
          <w:szCs w:val="28"/>
        </w:rPr>
        <w:t xml:space="preserve">of </w:t>
      </w:r>
      <w:r w:rsidR="009263C2">
        <w:rPr>
          <w:sz w:val="28"/>
          <w:szCs w:val="28"/>
        </w:rPr>
        <w:t>MPAC in an appeal?</w:t>
      </w:r>
    </w:p>
    <w:p w14:paraId="5724F3EB" w14:textId="77777777" w:rsidR="009263C2" w:rsidRDefault="009263C2" w:rsidP="00DD6544"/>
    <w:p w14:paraId="6C0E6F04" w14:textId="1F34B1D2" w:rsidR="00CF3C5E" w:rsidRDefault="009263C2" w:rsidP="00CF3C5E">
      <w:pPr>
        <w:rPr>
          <w:rFonts w:ascii="Arial" w:hAnsi="Arial" w:cs="Arial"/>
        </w:rPr>
      </w:pPr>
      <w:r w:rsidRPr="00CF3C5E">
        <w:rPr>
          <w:rFonts w:ascii="Arial" w:hAnsi="Arial" w:cs="Arial"/>
        </w:rPr>
        <w:t>MPAC provides an assessed value for all propert</w:t>
      </w:r>
      <w:r w:rsidR="009F0418">
        <w:rPr>
          <w:rFonts w:ascii="Arial" w:hAnsi="Arial" w:cs="Arial"/>
        </w:rPr>
        <w:t>ies</w:t>
      </w:r>
      <w:r w:rsidRPr="00CF3C5E">
        <w:rPr>
          <w:rFonts w:ascii="Arial" w:hAnsi="Arial" w:cs="Arial"/>
        </w:rPr>
        <w:t xml:space="preserve"> in Ontario. If the assessment of a property has been appealed to the ARB under the </w:t>
      </w:r>
      <w:r w:rsidRPr="00271665">
        <w:rPr>
          <w:rFonts w:ascii="Arial" w:hAnsi="Arial" w:cs="Arial"/>
        </w:rPr>
        <w:t>Assessment Act</w:t>
      </w:r>
      <w:r w:rsidRPr="00CF3C5E">
        <w:rPr>
          <w:rFonts w:ascii="Arial" w:hAnsi="Arial" w:cs="Arial"/>
        </w:rPr>
        <w:t xml:space="preserve">, MPAC must prove their assessment to the ARB. </w:t>
      </w:r>
      <w:r w:rsidR="00CF3C5E">
        <w:rPr>
          <w:rFonts w:ascii="Arial" w:hAnsi="Arial" w:cs="Arial"/>
        </w:rPr>
        <w:t xml:space="preserve"> </w:t>
      </w:r>
      <w:r w:rsidR="00CF3C5E" w:rsidRPr="00CF3C5E">
        <w:rPr>
          <w:rFonts w:ascii="Arial" w:hAnsi="Arial" w:cs="Arial"/>
        </w:rPr>
        <w:t>At a hearing, MPAC will present its evidence to the ARB first</w:t>
      </w:r>
      <w:r w:rsidR="00CF3C5E">
        <w:rPr>
          <w:rFonts w:ascii="Arial" w:hAnsi="Arial" w:cs="Arial"/>
        </w:rPr>
        <w:t>.</w:t>
      </w:r>
    </w:p>
    <w:p w14:paraId="69393315" w14:textId="77777777" w:rsidR="00CF3C5E" w:rsidRPr="00CF3C5E" w:rsidRDefault="00CF3C5E" w:rsidP="00CF3C5E">
      <w:pPr>
        <w:rPr>
          <w:rFonts w:ascii="Arial" w:hAnsi="Arial" w:cs="Arial"/>
        </w:rPr>
      </w:pPr>
    </w:p>
    <w:p w14:paraId="3FAE5643" w14:textId="2F788ABF" w:rsidR="009263C2" w:rsidRPr="00CF3C5E" w:rsidRDefault="00B80D3A" w:rsidP="009263C2">
      <w:pPr>
        <w:pStyle w:val="Heading1"/>
        <w:rPr>
          <w:b w:val="0"/>
          <w:szCs w:val="24"/>
        </w:rPr>
      </w:pPr>
      <w:r>
        <w:rPr>
          <w:b w:val="0"/>
          <w:szCs w:val="24"/>
        </w:rPr>
        <w:t xml:space="preserve">MPAC </w:t>
      </w:r>
      <w:r w:rsidR="009263C2" w:rsidRPr="00CF3C5E">
        <w:rPr>
          <w:b w:val="0"/>
          <w:szCs w:val="24"/>
        </w:rPr>
        <w:t>also ha</w:t>
      </w:r>
      <w:r w:rsidR="0057428F">
        <w:rPr>
          <w:b w:val="0"/>
          <w:szCs w:val="24"/>
        </w:rPr>
        <w:t>s</w:t>
      </w:r>
      <w:r w:rsidR="009263C2" w:rsidRPr="00CF3C5E">
        <w:rPr>
          <w:b w:val="0"/>
          <w:szCs w:val="24"/>
        </w:rPr>
        <w:t xml:space="preserve"> an obligation under the ARB’s </w:t>
      </w:r>
      <w:r w:rsidR="009263C2" w:rsidRPr="00271665">
        <w:rPr>
          <w:b w:val="0"/>
          <w:szCs w:val="24"/>
        </w:rPr>
        <w:t>Rules of Practice and Procedure</w:t>
      </w:r>
      <w:r>
        <w:rPr>
          <w:b w:val="0"/>
          <w:szCs w:val="24"/>
        </w:rPr>
        <w:t>,</w:t>
      </w:r>
      <w:r w:rsidR="009263C2" w:rsidRPr="00B80D3A">
        <w:rPr>
          <w:b w:val="0"/>
          <w:szCs w:val="24"/>
        </w:rPr>
        <w:t xml:space="preserve"> </w:t>
      </w:r>
      <w:r w:rsidR="009263C2" w:rsidRPr="00CF3C5E">
        <w:rPr>
          <w:b w:val="0"/>
          <w:szCs w:val="24"/>
        </w:rPr>
        <w:t>to notify the ARB</w:t>
      </w:r>
      <w:r>
        <w:rPr>
          <w:b w:val="0"/>
          <w:szCs w:val="24"/>
        </w:rPr>
        <w:t xml:space="preserve"> if</w:t>
      </w:r>
      <w:r w:rsidR="009263C2" w:rsidRPr="00CF3C5E">
        <w:rPr>
          <w:b w:val="0"/>
          <w:szCs w:val="24"/>
        </w:rPr>
        <w:t xml:space="preserve"> an appeal is resolved or requires a hearing.</w:t>
      </w:r>
    </w:p>
    <w:p w14:paraId="3040FF62" w14:textId="77777777" w:rsidR="009263C2" w:rsidRPr="009263C2" w:rsidRDefault="009263C2" w:rsidP="009263C2">
      <w:pPr>
        <w:rPr>
          <w:rFonts w:ascii="Arial" w:hAnsi="Arial" w:cs="Arial"/>
        </w:rPr>
      </w:pPr>
    </w:p>
    <w:p w14:paraId="4CCD2DB8" w14:textId="31D31395" w:rsidR="003406F7" w:rsidRPr="009263C2" w:rsidRDefault="00CF3C5E" w:rsidP="009263C2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What is the role </w:t>
      </w:r>
      <w:r w:rsidR="00FA7464" w:rsidRPr="009263C2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a </w:t>
      </w:r>
      <w:r w:rsidR="00FA7464" w:rsidRPr="009263C2">
        <w:rPr>
          <w:sz w:val="28"/>
          <w:szCs w:val="28"/>
        </w:rPr>
        <w:t>municipalit</w:t>
      </w:r>
      <w:r>
        <w:rPr>
          <w:sz w:val="28"/>
          <w:szCs w:val="28"/>
        </w:rPr>
        <w:t>y</w:t>
      </w:r>
      <w:r w:rsidR="0044216E" w:rsidRPr="009263C2">
        <w:rPr>
          <w:sz w:val="28"/>
          <w:szCs w:val="28"/>
        </w:rPr>
        <w:t xml:space="preserve"> </w:t>
      </w:r>
      <w:r w:rsidR="007E4F2A" w:rsidRPr="009263C2">
        <w:rPr>
          <w:sz w:val="28"/>
          <w:szCs w:val="28"/>
        </w:rPr>
        <w:t>in</w:t>
      </w:r>
      <w:r>
        <w:rPr>
          <w:sz w:val="28"/>
          <w:szCs w:val="28"/>
        </w:rPr>
        <w:t xml:space="preserve"> an appeal</w:t>
      </w:r>
      <w:r w:rsidR="0044216E" w:rsidRPr="009263C2">
        <w:rPr>
          <w:sz w:val="28"/>
          <w:szCs w:val="28"/>
        </w:rPr>
        <w:t>?</w:t>
      </w:r>
    </w:p>
    <w:p w14:paraId="09A3186B" w14:textId="77777777" w:rsidR="00CF3C5E" w:rsidRDefault="00CF3C5E" w:rsidP="009263C2">
      <w:pPr>
        <w:rPr>
          <w:rFonts w:ascii="Arial" w:hAnsi="Arial" w:cs="Arial"/>
        </w:rPr>
      </w:pPr>
    </w:p>
    <w:p w14:paraId="765FB964" w14:textId="334EA121" w:rsidR="00680E8E" w:rsidRDefault="00CF3C5E" w:rsidP="009263C2">
      <w:pPr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412C88" w:rsidRPr="00412C88">
        <w:rPr>
          <w:rFonts w:ascii="Arial" w:hAnsi="Arial" w:cs="Arial"/>
        </w:rPr>
        <w:t>unicipalit</w:t>
      </w:r>
      <w:r>
        <w:rPr>
          <w:rFonts w:ascii="Arial" w:hAnsi="Arial" w:cs="Arial"/>
        </w:rPr>
        <w:t>y</w:t>
      </w:r>
      <w:r w:rsidR="00412C88" w:rsidRPr="00412C88">
        <w:rPr>
          <w:rFonts w:ascii="Arial" w:hAnsi="Arial" w:cs="Arial"/>
        </w:rPr>
        <w:t xml:space="preserve"> set</w:t>
      </w:r>
      <w:r>
        <w:rPr>
          <w:rFonts w:ascii="Arial" w:hAnsi="Arial" w:cs="Arial"/>
        </w:rPr>
        <w:t>s</w:t>
      </w:r>
      <w:r w:rsidR="00412C88" w:rsidRPr="00412C88">
        <w:rPr>
          <w:rFonts w:ascii="Arial" w:hAnsi="Arial" w:cs="Arial"/>
        </w:rPr>
        <w:t xml:space="preserve"> tax rates</w:t>
      </w:r>
      <w:r w:rsidR="000038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03887">
        <w:rPr>
          <w:rFonts w:ascii="Arial" w:hAnsi="Arial" w:cs="Arial"/>
        </w:rPr>
        <w:t xml:space="preserve">The tax rate is applied to the assessment determined by MPAC to calculate the tax for a property. </w:t>
      </w:r>
      <w:r>
        <w:rPr>
          <w:rFonts w:ascii="Arial" w:hAnsi="Arial" w:cs="Arial"/>
        </w:rPr>
        <w:t>.</w:t>
      </w:r>
      <w:r w:rsidR="00412C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m</w:t>
      </w:r>
      <w:r w:rsidR="008D0F6C">
        <w:rPr>
          <w:rFonts w:ascii="Arial" w:hAnsi="Arial" w:cs="Arial"/>
        </w:rPr>
        <w:t>unicipalit</w:t>
      </w:r>
      <w:r>
        <w:rPr>
          <w:rFonts w:ascii="Arial" w:hAnsi="Arial" w:cs="Arial"/>
        </w:rPr>
        <w:t>y</w:t>
      </w:r>
      <w:r w:rsidR="008D0F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has</w:t>
      </w:r>
      <w:r w:rsidR="008D0F6C">
        <w:rPr>
          <w:rFonts w:ascii="Arial" w:hAnsi="Arial" w:cs="Arial"/>
        </w:rPr>
        <w:t xml:space="preserve"> the right to participate in hearings, </w:t>
      </w:r>
      <w:r w:rsidR="00C93587">
        <w:rPr>
          <w:rFonts w:ascii="Arial" w:hAnsi="Arial" w:cs="Arial"/>
        </w:rPr>
        <w:t xml:space="preserve">including providing </w:t>
      </w:r>
      <w:r w:rsidR="008D0F6C">
        <w:rPr>
          <w:rFonts w:ascii="Arial" w:hAnsi="Arial" w:cs="Arial"/>
        </w:rPr>
        <w:t>evidence and question</w:t>
      </w:r>
      <w:r w:rsidR="00C93587">
        <w:rPr>
          <w:rFonts w:ascii="Arial" w:hAnsi="Arial" w:cs="Arial"/>
        </w:rPr>
        <w:t>ing</w:t>
      </w:r>
      <w:r w:rsidR="008D0F6C">
        <w:rPr>
          <w:rFonts w:ascii="Arial" w:hAnsi="Arial" w:cs="Arial"/>
        </w:rPr>
        <w:t xml:space="preserve"> witnesses. </w:t>
      </w:r>
      <w:r>
        <w:rPr>
          <w:rFonts w:ascii="Arial" w:hAnsi="Arial" w:cs="Arial"/>
        </w:rPr>
        <w:t xml:space="preserve"> A municipality may also appeal an assessment if they believe it is </w:t>
      </w:r>
      <w:r w:rsidR="00B662FB">
        <w:rPr>
          <w:rFonts w:ascii="Arial" w:hAnsi="Arial" w:cs="Arial"/>
        </w:rPr>
        <w:t>incorrect or</w:t>
      </w:r>
      <w:r>
        <w:rPr>
          <w:rFonts w:ascii="Arial" w:hAnsi="Arial" w:cs="Arial"/>
        </w:rPr>
        <w:t xml:space="preserve"> serve a Notice of Higher Assessment in an existing appeal.</w:t>
      </w:r>
    </w:p>
    <w:p w14:paraId="24729E1C" w14:textId="77777777" w:rsidR="00CF3C5E" w:rsidRDefault="00CF3C5E" w:rsidP="009263C2">
      <w:pPr>
        <w:rPr>
          <w:rFonts w:ascii="Arial" w:hAnsi="Arial" w:cs="Arial"/>
        </w:rPr>
      </w:pPr>
    </w:p>
    <w:p w14:paraId="1E76897D" w14:textId="5057A448" w:rsidR="00412C88" w:rsidRPr="00545789" w:rsidRDefault="00CF3C5E" w:rsidP="009263C2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Where must I send documents</w:t>
      </w:r>
      <w:r w:rsidR="00412C88" w:rsidRPr="00545789">
        <w:rPr>
          <w:sz w:val="28"/>
          <w:szCs w:val="28"/>
        </w:rPr>
        <w:t>?</w:t>
      </w:r>
    </w:p>
    <w:p w14:paraId="6B1CD81F" w14:textId="77777777" w:rsidR="00CF3C5E" w:rsidRDefault="00CF3C5E" w:rsidP="009263C2">
      <w:pPr>
        <w:rPr>
          <w:rFonts w:ascii="Arial" w:hAnsi="Arial" w:cs="Arial"/>
        </w:rPr>
      </w:pPr>
    </w:p>
    <w:p w14:paraId="0858470C" w14:textId="2247C1AA" w:rsidR="00CF3C5E" w:rsidRDefault="00CF3C5E" w:rsidP="00CF3C5E">
      <w:pPr>
        <w:rPr>
          <w:rFonts w:ascii="Arial" w:hAnsi="Arial" w:cs="Arial"/>
        </w:rPr>
      </w:pPr>
      <w:r>
        <w:rPr>
          <w:rFonts w:ascii="Arial" w:hAnsi="Arial" w:cs="Arial"/>
        </w:rPr>
        <w:t>Documents</w:t>
      </w:r>
      <w:r w:rsidR="00357C7F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an appeal must be</w:t>
      </w:r>
      <w:r w:rsidR="00357C7F">
        <w:rPr>
          <w:rFonts w:ascii="Arial" w:hAnsi="Arial" w:cs="Arial"/>
        </w:rPr>
        <w:t xml:space="preserve"> provided to</w:t>
      </w:r>
      <w:r>
        <w:rPr>
          <w:rFonts w:ascii="Arial" w:hAnsi="Arial" w:cs="Arial"/>
        </w:rPr>
        <w:t xml:space="preserve"> </w:t>
      </w:r>
      <w:r w:rsidR="001729F4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the parties, including the </w:t>
      </w:r>
      <w:r w:rsidR="00711F08">
        <w:rPr>
          <w:rFonts w:ascii="Arial" w:hAnsi="Arial" w:cs="Arial"/>
        </w:rPr>
        <w:t xml:space="preserve">property </w:t>
      </w:r>
      <w:r w:rsidR="00AA34D4">
        <w:rPr>
          <w:rFonts w:ascii="Arial" w:hAnsi="Arial" w:cs="Arial"/>
        </w:rPr>
        <w:t>owner</w:t>
      </w:r>
      <w:r w:rsidR="00E101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5140D">
        <w:rPr>
          <w:rFonts w:ascii="Arial" w:hAnsi="Arial" w:cs="Arial"/>
        </w:rPr>
        <w:t xml:space="preserve">appellant, </w:t>
      </w:r>
      <w:r>
        <w:rPr>
          <w:rFonts w:ascii="Arial" w:hAnsi="Arial" w:cs="Arial"/>
        </w:rPr>
        <w:t xml:space="preserve">MPAC, and the municipality. </w:t>
      </w:r>
      <w:r w:rsidR="009F0418">
        <w:rPr>
          <w:rFonts w:ascii="Arial" w:hAnsi="Arial" w:cs="Arial"/>
        </w:rPr>
        <w:t xml:space="preserve">All documents to be relied on at a hearing event, must be submitted to the ARB </w:t>
      </w:r>
      <w:r w:rsidR="003F3881">
        <w:rPr>
          <w:rFonts w:ascii="Arial" w:hAnsi="Arial" w:cs="Arial"/>
        </w:rPr>
        <w:t xml:space="preserve">at </w:t>
      </w:r>
      <w:hyperlink r:id="rId8" w:history="1">
        <w:r w:rsidR="003F3881" w:rsidRPr="004C29F3">
          <w:rPr>
            <w:rStyle w:val="Hyperlink"/>
            <w:sz w:val="24"/>
            <w:szCs w:val="24"/>
          </w:rPr>
          <w:t>arb.registrar@ontario.ca</w:t>
        </w:r>
      </w:hyperlink>
      <w:r w:rsidR="003F3881">
        <w:rPr>
          <w:rFonts w:ascii="Arial" w:hAnsi="Arial" w:cs="Arial"/>
        </w:rPr>
        <w:t xml:space="preserve"> </w:t>
      </w:r>
      <w:r w:rsidR="009F0418">
        <w:rPr>
          <w:rFonts w:ascii="Arial" w:hAnsi="Arial" w:cs="Arial"/>
        </w:rPr>
        <w:t>in accordance with the assigned schedule of events.</w:t>
      </w:r>
    </w:p>
    <w:p w14:paraId="49871F98" w14:textId="77777777" w:rsidR="00CF3C5E" w:rsidRDefault="00CF3C5E" w:rsidP="00CF3C5E">
      <w:pPr>
        <w:rPr>
          <w:rFonts w:ascii="Arial" w:hAnsi="Arial" w:cs="Arial"/>
        </w:rPr>
      </w:pPr>
    </w:p>
    <w:p w14:paraId="2388EB76" w14:textId="570AE4FE" w:rsidR="00CF3C5E" w:rsidRDefault="00CF3C5E" w:rsidP="00926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MPAC to </w:t>
      </w:r>
      <w:r w:rsidR="00B9042A">
        <w:rPr>
          <w:rFonts w:ascii="Arial" w:hAnsi="Arial" w:cs="Arial"/>
        </w:rPr>
        <w:t xml:space="preserve">find out who you should send </w:t>
      </w:r>
      <w:r>
        <w:rPr>
          <w:rFonts w:ascii="Arial" w:hAnsi="Arial" w:cs="Arial"/>
        </w:rPr>
        <w:t>your documents</w:t>
      </w:r>
      <w:r w:rsidR="00B9042A">
        <w:rPr>
          <w:rFonts w:ascii="Arial" w:hAnsi="Arial" w:cs="Arial"/>
        </w:rPr>
        <w:t xml:space="preserve"> to</w:t>
      </w:r>
      <w:r w:rsidR="00357C7F">
        <w:rPr>
          <w:rFonts w:ascii="Arial" w:hAnsi="Arial" w:cs="Arial"/>
        </w:rPr>
        <w:t>.</w:t>
      </w:r>
    </w:p>
    <w:p w14:paraId="4A418C89" w14:textId="77777777" w:rsidR="00CF3C5E" w:rsidRDefault="00CF3C5E" w:rsidP="009263C2">
      <w:pPr>
        <w:rPr>
          <w:rFonts w:ascii="Arial" w:hAnsi="Arial" w:cs="Arial"/>
        </w:rPr>
      </w:pPr>
    </w:p>
    <w:p w14:paraId="448533CD" w14:textId="3813AC9F" w:rsidR="00412C88" w:rsidRPr="00412C88" w:rsidRDefault="00CF3C5E" w:rsidP="009263C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municipality is served </w:t>
      </w:r>
      <w:r w:rsidR="00B9042A">
        <w:rPr>
          <w:rFonts w:ascii="Arial" w:hAnsi="Arial" w:cs="Arial"/>
        </w:rPr>
        <w:t xml:space="preserve">by giving or sending the documents to </w:t>
      </w:r>
      <w:r>
        <w:rPr>
          <w:rFonts w:ascii="Arial" w:hAnsi="Arial" w:cs="Arial"/>
        </w:rPr>
        <w:t xml:space="preserve">the </w:t>
      </w:r>
      <w:r w:rsidR="00412C88" w:rsidRPr="00412C88">
        <w:rPr>
          <w:rFonts w:ascii="Arial" w:hAnsi="Arial" w:cs="Arial"/>
        </w:rPr>
        <w:t>Municipal Clerk</w:t>
      </w:r>
      <w:r w:rsidR="00C747EF">
        <w:rPr>
          <w:rFonts w:ascii="Arial" w:hAnsi="Arial" w:cs="Arial"/>
        </w:rPr>
        <w:t xml:space="preserve"> or any other Municipal employee designated by the Municipality</w:t>
      </w:r>
      <w:r w:rsidR="00412C88" w:rsidRPr="00412C8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Contact your municipality to see who has been designated.  </w:t>
      </w:r>
      <w:r w:rsidR="00412C88">
        <w:rPr>
          <w:rFonts w:ascii="Arial" w:hAnsi="Arial" w:cs="Arial"/>
        </w:rPr>
        <w:t xml:space="preserve">You may find a list of all Ontario municipalities </w:t>
      </w:r>
      <w:hyperlink r:id="rId9" w:history="1">
        <w:r w:rsidR="00412C88" w:rsidRPr="00B662FB">
          <w:rPr>
            <w:rStyle w:val="Hyperlink"/>
            <w:sz w:val="24"/>
            <w:szCs w:val="24"/>
          </w:rPr>
          <w:t>here</w:t>
        </w:r>
      </w:hyperlink>
      <w:r w:rsidR="00B662FB">
        <w:rPr>
          <w:rFonts w:ascii="Arial" w:hAnsi="Arial" w:cs="Arial"/>
        </w:rPr>
        <w:t>.</w:t>
      </w:r>
    </w:p>
    <w:p w14:paraId="2BEEBBD1" w14:textId="77777777" w:rsidR="00CF3C5E" w:rsidRDefault="00CF3C5E" w:rsidP="00DD6544"/>
    <w:p w14:paraId="2F7475FC" w14:textId="77777777" w:rsidR="00157996" w:rsidRDefault="00157996" w:rsidP="009263C2">
      <w:pPr>
        <w:pStyle w:val="Heading1"/>
        <w:rPr>
          <w:b w:val="0"/>
          <w:bCs/>
        </w:rPr>
      </w:pPr>
      <w:r w:rsidRPr="00716593">
        <w:rPr>
          <w:sz w:val="28"/>
        </w:rPr>
        <w:lastRenderedPageBreak/>
        <w:t>Where can I find more information?</w:t>
      </w:r>
      <w:r>
        <w:rPr>
          <w:sz w:val="28"/>
        </w:rPr>
        <w:br/>
      </w:r>
    </w:p>
    <w:p w14:paraId="5CEDC6D3" w14:textId="77777777" w:rsidR="008F0252" w:rsidRDefault="008F0252" w:rsidP="008F0252">
      <w:pPr>
        <w:pStyle w:val="Heading1"/>
        <w:rPr>
          <w:b w:val="0"/>
        </w:rPr>
      </w:pPr>
      <w:r w:rsidRPr="00716593">
        <w:rPr>
          <w:b w:val="0"/>
        </w:rPr>
        <w:t xml:space="preserve">For more information </w:t>
      </w:r>
      <w:r>
        <w:rPr>
          <w:b w:val="0"/>
        </w:rPr>
        <w:t xml:space="preserve">please </w:t>
      </w:r>
      <w:r w:rsidRPr="00716593">
        <w:rPr>
          <w:b w:val="0"/>
        </w:rPr>
        <w:t xml:space="preserve">refer to the </w:t>
      </w:r>
      <w:r w:rsidRPr="00FD00CA">
        <w:rPr>
          <w:b w:val="0"/>
        </w:rPr>
        <w:t xml:space="preserve">ARB's </w:t>
      </w:r>
      <w:r w:rsidRPr="00FD00CA">
        <w:rPr>
          <w:b w:val="0"/>
          <w:i/>
        </w:rPr>
        <w:t>Rules of Practice and Procedure</w:t>
      </w:r>
      <w:r w:rsidRPr="00FD00CA">
        <w:rPr>
          <w:b w:val="0"/>
        </w:rPr>
        <w:t xml:space="preserve"> </w:t>
      </w:r>
      <w:r w:rsidRPr="00716593">
        <w:rPr>
          <w:b w:val="0"/>
        </w:rPr>
        <w:t xml:space="preserve">which can be found on </w:t>
      </w:r>
      <w:hyperlink r:id="rId10" w:history="1">
        <w:r w:rsidRPr="009218C1">
          <w:rPr>
            <w:rStyle w:val="Hyperlink"/>
            <w:b/>
            <w:sz w:val="24"/>
            <w:szCs w:val="24"/>
          </w:rPr>
          <w:t>our website</w:t>
        </w:r>
      </w:hyperlink>
      <w:r w:rsidRPr="00716593">
        <w:rPr>
          <w:b w:val="0"/>
        </w:rPr>
        <w:t xml:space="preserve"> or by </w:t>
      </w:r>
      <w:r>
        <w:rPr>
          <w:b w:val="0"/>
        </w:rPr>
        <w:t>e-mailing</w:t>
      </w:r>
      <w:r w:rsidRPr="00716593">
        <w:rPr>
          <w:b w:val="0"/>
        </w:rPr>
        <w:t xml:space="preserve"> us at </w:t>
      </w:r>
      <w:hyperlink r:id="rId11" w:history="1">
        <w:r w:rsidRPr="00DF1DE2">
          <w:rPr>
            <w:rStyle w:val="Hyperlink"/>
            <w:b/>
            <w:sz w:val="24"/>
            <w:szCs w:val="24"/>
          </w:rPr>
          <w:t>arb.registrar@ontario.ca</w:t>
        </w:r>
      </w:hyperlink>
      <w:r w:rsidRPr="00716593">
        <w:rPr>
          <w:b w:val="0"/>
        </w:rPr>
        <w:t>.</w:t>
      </w:r>
    </w:p>
    <w:p w14:paraId="28F17C13" w14:textId="77777777" w:rsidR="008F0252" w:rsidRPr="00CF0750" w:rsidRDefault="008F0252" w:rsidP="008F0252"/>
    <w:p w14:paraId="53319C33" w14:textId="77777777" w:rsidR="008F0252" w:rsidRDefault="008F0252" w:rsidP="008F0252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406F7">
        <w:rPr>
          <w:rFonts w:ascii="Arial" w:hAnsi="Arial" w:cs="Arial"/>
          <w:szCs w:val="20"/>
        </w:rPr>
        <w:t xml:space="preserve">We are committed to providing services as set out in the </w:t>
      </w:r>
      <w:r w:rsidRPr="003406F7">
        <w:rPr>
          <w:rFonts w:ascii="Arial" w:hAnsi="Arial" w:cs="Arial"/>
          <w:i/>
          <w:szCs w:val="20"/>
        </w:rPr>
        <w:t>Accessibility for Ontarians with</w:t>
      </w:r>
      <w:r w:rsidRPr="003406F7">
        <w:rPr>
          <w:rFonts w:ascii="Arial" w:hAnsi="Arial" w:cs="Arial"/>
          <w:szCs w:val="20"/>
        </w:rPr>
        <w:t xml:space="preserve"> </w:t>
      </w:r>
      <w:r w:rsidRPr="003406F7">
        <w:rPr>
          <w:rFonts w:ascii="Arial" w:hAnsi="Arial" w:cs="Arial"/>
          <w:i/>
          <w:szCs w:val="20"/>
        </w:rPr>
        <w:t>Disabilities Act, 2005</w:t>
      </w:r>
      <w:r w:rsidRPr="003406F7">
        <w:rPr>
          <w:rFonts w:ascii="Arial" w:hAnsi="Arial" w:cs="Arial"/>
          <w:szCs w:val="20"/>
        </w:rPr>
        <w:t xml:space="preserve">.  If you have any accessibility needs, please contact </w:t>
      </w:r>
      <w:r>
        <w:rPr>
          <w:rFonts w:ascii="Arial" w:hAnsi="Arial" w:cs="Arial"/>
          <w:szCs w:val="20"/>
        </w:rPr>
        <w:t>the Board as soon as possible.</w:t>
      </w:r>
    </w:p>
    <w:p w14:paraId="4D463C31" w14:textId="77777777" w:rsidR="00CF3C5E" w:rsidRDefault="00CF3C5E" w:rsidP="009263C2">
      <w:pPr>
        <w:rPr>
          <w:rFonts w:ascii="Arial" w:hAnsi="Arial" w:cs="Arial"/>
          <w:b/>
          <w:sz w:val="28"/>
          <w:szCs w:val="28"/>
        </w:rPr>
      </w:pPr>
    </w:p>
    <w:p w14:paraId="44C1F7B3" w14:textId="77777777" w:rsidR="00157996" w:rsidRPr="00025B85" w:rsidRDefault="00157996" w:rsidP="009263C2">
      <w:pPr>
        <w:rPr>
          <w:rFonts w:ascii="Arial" w:hAnsi="Arial" w:cs="Arial"/>
          <w:sz w:val="28"/>
          <w:szCs w:val="28"/>
          <w:lang w:eastAsia="en-CA"/>
        </w:rPr>
      </w:pPr>
      <w:r w:rsidRPr="00025B85">
        <w:rPr>
          <w:rFonts w:ascii="Arial" w:hAnsi="Arial" w:cs="Arial"/>
          <w:b/>
          <w:sz w:val="28"/>
          <w:szCs w:val="28"/>
        </w:rPr>
        <w:t>Please Note</w:t>
      </w:r>
    </w:p>
    <w:p w14:paraId="1A7FFC12" w14:textId="77777777" w:rsidR="00CF3C5E" w:rsidRDefault="00CF3C5E" w:rsidP="009263C2">
      <w:pPr>
        <w:rPr>
          <w:rFonts w:ascii="Arial" w:hAnsi="Arial" w:cs="Arial"/>
          <w:lang w:val="en-US" w:eastAsia="en-CA"/>
        </w:rPr>
      </w:pPr>
    </w:p>
    <w:p w14:paraId="083B19E9" w14:textId="77777777" w:rsidR="008F0252" w:rsidRDefault="008F0252" w:rsidP="008F0252">
      <w:pPr>
        <w:rPr>
          <w:color w:val="FFFFFF"/>
          <w:szCs w:val="18"/>
        </w:rPr>
      </w:pPr>
      <w:r w:rsidRPr="00FC7F43">
        <w:rPr>
          <w:rFonts w:ascii="Arial" w:hAnsi="Arial" w:cs="Arial"/>
          <w:lang w:val="en-US" w:eastAsia="en-CA"/>
        </w:rPr>
        <w:t xml:space="preserve">The information contained in this sheet is not intended as a substitute for legal or other advice, and in providing this information, the </w:t>
      </w:r>
      <w:r>
        <w:rPr>
          <w:rFonts w:ascii="Arial" w:hAnsi="Arial" w:cs="Arial"/>
          <w:lang w:val="en-US" w:eastAsia="en-CA"/>
        </w:rPr>
        <w:t>ARB</w:t>
      </w:r>
      <w:r w:rsidRPr="00FC7F43">
        <w:rPr>
          <w:rFonts w:ascii="Arial" w:hAnsi="Arial" w:cs="Arial"/>
          <w:lang w:val="en-US" w:eastAsia="en-CA"/>
        </w:rPr>
        <w:t xml:space="preserve"> assumes no responsibility for any errors or omissions and shall not be liable for any reliance placed on the information in this sheet. Additional information, including th</w:t>
      </w:r>
      <w:r>
        <w:rPr>
          <w:rFonts w:ascii="Arial" w:hAnsi="Arial" w:cs="Arial"/>
          <w:lang w:val="en-US" w:eastAsia="en-CA"/>
        </w:rPr>
        <w:t xml:space="preserve">e ARB’s </w:t>
      </w:r>
      <w:r>
        <w:rPr>
          <w:rFonts w:ascii="Arial" w:hAnsi="Arial" w:cs="Arial"/>
          <w:i/>
          <w:lang w:val="en-US" w:eastAsia="en-CA"/>
        </w:rPr>
        <w:t>Rules of Practice and Procedure</w:t>
      </w:r>
      <w:r w:rsidRPr="004A5F08">
        <w:rPr>
          <w:rFonts w:ascii="Arial" w:hAnsi="Arial" w:cs="Arial"/>
          <w:lang w:val="en-US" w:eastAsia="en-CA"/>
        </w:rPr>
        <w:t>,</w:t>
      </w:r>
      <w:r w:rsidRPr="00FC7F43">
        <w:rPr>
          <w:rFonts w:ascii="Arial" w:hAnsi="Arial" w:cs="Arial"/>
          <w:lang w:val="en-US" w:eastAsia="en-CA"/>
        </w:rPr>
        <w:t xml:space="preserve"> is available at </w:t>
      </w:r>
      <w:hyperlink r:id="rId12" w:history="1">
        <w:r w:rsidRPr="00E04271">
          <w:rPr>
            <w:rStyle w:val="Hyperlink"/>
            <w:sz w:val="24"/>
            <w:szCs w:val="24"/>
            <w:lang w:val="en-US" w:eastAsia="en-CA"/>
          </w:rPr>
          <w:t>on our website</w:t>
        </w:r>
      </w:hyperlink>
      <w:r w:rsidRPr="00FC7F43">
        <w:rPr>
          <w:rFonts w:ascii="Arial" w:hAnsi="Arial" w:cs="Arial"/>
          <w:lang w:val="en-US" w:eastAsia="en-CA"/>
        </w:rPr>
        <w:t xml:space="preserve">, or by </w:t>
      </w:r>
      <w:r>
        <w:rPr>
          <w:rFonts w:ascii="Arial" w:hAnsi="Arial" w:cs="Arial"/>
          <w:lang w:val="en-US" w:eastAsia="en-CA"/>
        </w:rPr>
        <w:t xml:space="preserve">e-mailing </w:t>
      </w:r>
      <w:hyperlink r:id="rId13" w:history="1">
        <w:r w:rsidRPr="002D62D3">
          <w:rPr>
            <w:rStyle w:val="Hyperlink"/>
            <w:sz w:val="24"/>
            <w:szCs w:val="24"/>
            <w:lang w:val="en-US" w:eastAsia="en-CA"/>
          </w:rPr>
          <w:t>arb.registrar@ontario.ca</w:t>
        </w:r>
      </w:hyperlink>
      <w:r w:rsidRPr="00FC7F43">
        <w:rPr>
          <w:rFonts w:ascii="Arial" w:hAnsi="Arial" w:cs="Arial"/>
          <w:lang w:val="en-US" w:eastAsia="en-CA"/>
        </w:rPr>
        <w:t>.</w:t>
      </w:r>
    </w:p>
    <w:p w14:paraId="56E31332" w14:textId="77777777" w:rsidR="00487C51" w:rsidRDefault="00487C51" w:rsidP="009263C2">
      <w:pPr>
        <w:rPr>
          <w:rFonts w:ascii="Arial" w:hAnsi="Arial" w:cs="Arial"/>
          <w:lang w:val="en-US" w:eastAsia="en-CA"/>
        </w:rPr>
      </w:pPr>
    </w:p>
    <w:p w14:paraId="606439AE" w14:textId="77777777" w:rsidR="00487C51" w:rsidRDefault="00487C51" w:rsidP="009263C2">
      <w:pPr>
        <w:rPr>
          <w:rFonts w:ascii="Arial" w:hAnsi="Arial" w:cs="Arial"/>
          <w:lang w:val="en-US" w:eastAsia="en-CA"/>
        </w:rPr>
      </w:pPr>
    </w:p>
    <w:p w14:paraId="6FC0DE11" w14:textId="77777777" w:rsidR="00487C51" w:rsidRDefault="00487C51" w:rsidP="00487C51">
      <w:pPr>
        <w:rPr>
          <w:rFonts w:ascii="Arial" w:hAnsi="Arial" w:cs="Arial"/>
          <w:lang w:val="en-US" w:eastAsia="en-CA"/>
        </w:rPr>
      </w:pPr>
    </w:p>
    <w:p w14:paraId="2CF0E3A6" w14:textId="77777777" w:rsidR="00487C51" w:rsidRDefault="00487C51" w:rsidP="00487C51">
      <w:pPr>
        <w:rPr>
          <w:rFonts w:ascii="Arial" w:hAnsi="Arial" w:cs="Arial"/>
          <w:lang w:val="en-US" w:eastAsia="en-CA"/>
        </w:rPr>
      </w:pPr>
    </w:p>
    <w:p w14:paraId="305A2981" w14:textId="77777777" w:rsidR="00487C51" w:rsidRDefault="00487C51" w:rsidP="00487C51">
      <w:pPr>
        <w:rPr>
          <w:rFonts w:ascii="Arial" w:hAnsi="Arial" w:cs="Arial"/>
          <w:lang w:val="en-US" w:eastAsia="en-CA"/>
        </w:rPr>
      </w:pPr>
    </w:p>
    <w:p w14:paraId="0DF6F74F" w14:textId="77777777" w:rsidR="00487C51" w:rsidRDefault="00487C51" w:rsidP="00487C51">
      <w:pPr>
        <w:rPr>
          <w:rFonts w:ascii="Arial" w:hAnsi="Arial" w:cs="Arial"/>
          <w:lang w:val="en-US" w:eastAsia="en-CA"/>
        </w:rPr>
      </w:pPr>
    </w:p>
    <w:p w14:paraId="567A4313" w14:textId="77777777" w:rsidR="00487C51" w:rsidRDefault="00487C51" w:rsidP="00487C51">
      <w:pPr>
        <w:rPr>
          <w:rFonts w:ascii="Arial" w:hAnsi="Arial" w:cs="Arial"/>
          <w:lang w:val="en-US" w:eastAsia="en-CA"/>
        </w:rPr>
      </w:pPr>
    </w:p>
    <w:p w14:paraId="2B6C24A4" w14:textId="77777777" w:rsidR="00487C51" w:rsidRDefault="00487C51" w:rsidP="00487C51">
      <w:pPr>
        <w:rPr>
          <w:rFonts w:ascii="Arial" w:hAnsi="Arial" w:cs="Arial"/>
          <w:lang w:val="en-US" w:eastAsia="en-CA"/>
        </w:rPr>
      </w:pPr>
    </w:p>
    <w:p w14:paraId="6EC68144" w14:textId="77777777" w:rsidR="00487C51" w:rsidRDefault="00487C51" w:rsidP="00487C51">
      <w:pPr>
        <w:rPr>
          <w:rFonts w:ascii="Arial" w:hAnsi="Arial" w:cs="Arial"/>
          <w:lang w:val="en-US" w:eastAsia="en-CA"/>
        </w:rPr>
      </w:pPr>
    </w:p>
    <w:p w14:paraId="5059F7CD" w14:textId="77777777" w:rsidR="00487C51" w:rsidRDefault="00487C51" w:rsidP="00487C51">
      <w:pPr>
        <w:rPr>
          <w:rFonts w:ascii="Arial" w:hAnsi="Arial" w:cs="Arial"/>
          <w:lang w:val="en-US" w:eastAsia="en-CA"/>
        </w:rPr>
      </w:pPr>
    </w:p>
    <w:p w14:paraId="2684551B" w14:textId="7338AE4D" w:rsidR="00487C51" w:rsidRDefault="00487C51" w:rsidP="00487C51">
      <w:pPr>
        <w:rPr>
          <w:rFonts w:ascii="Arial" w:hAnsi="Arial" w:cs="Arial"/>
          <w:lang w:val="en-US" w:eastAsia="en-CA"/>
        </w:rPr>
      </w:pPr>
    </w:p>
    <w:p w14:paraId="6083A9EB" w14:textId="361A9694" w:rsidR="003C7BBE" w:rsidRDefault="003C7BBE" w:rsidP="00487C51">
      <w:pPr>
        <w:rPr>
          <w:rFonts w:ascii="Arial" w:hAnsi="Arial" w:cs="Arial"/>
          <w:lang w:val="en-US" w:eastAsia="en-CA"/>
        </w:rPr>
      </w:pPr>
    </w:p>
    <w:p w14:paraId="350F8F6C" w14:textId="30FDEC0A" w:rsidR="003C7BBE" w:rsidRDefault="003C7BBE" w:rsidP="00487C51">
      <w:pPr>
        <w:rPr>
          <w:rFonts w:ascii="Arial" w:hAnsi="Arial" w:cs="Arial"/>
          <w:lang w:val="en-US" w:eastAsia="en-CA"/>
        </w:rPr>
      </w:pPr>
    </w:p>
    <w:p w14:paraId="1DEFF495" w14:textId="77777777" w:rsidR="003C7BBE" w:rsidRDefault="003C7BBE" w:rsidP="00487C51">
      <w:pPr>
        <w:rPr>
          <w:rFonts w:ascii="Arial" w:hAnsi="Arial" w:cs="Arial"/>
          <w:lang w:val="en-US" w:eastAsia="en-CA"/>
        </w:rPr>
      </w:pPr>
    </w:p>
    <w:p w14:paraId="551428C9" w14:textId="77777777" w:rsidR="00487C51" w:rsidRDefault="00487C51" w:rsidP="00487C51">
      <w:pPr>
        <w:rPr>
          <w:rFonts w:ascii="Arial" w:hAnsi="Arial" w:cs="Arial"/>
          <w:lang w:val="en-US" w:eastAsia="en-CA"/>
        </w:rPr>
      </w:pPr>
    </w:p>
    <w:p w14:paraId="71809622" w14:textId="77777777" w:rsidR="00451A25" w:rsidRDefault="00451A25" w:rsidP="00451A25">
      <w:pPr>
        <w:tabs>
          <w:tab w:val="left" w:pos="1080"/>
        </w:tabs>
        <w:rPr>
          <w:rFonts w:ascii="Arial" w:hAnsi="Arial" w:cs="Arial"/>
          <w:lang w:val="en-US" w:eastAsia="en-CA"/>
        </w:rPr>
      </w:pPr>
      <w:r>
        <w:rPr>
          <w:rFonts w:ascii="Arial" w:hAnsi="Arial" w:cs="Arial"/>
          <w:lang w:val="en-US" w:eastAsia="en-CA"/>
        </w:rPr>
        <w:tab/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451A25" w14:paraId="3260132F" w14:textId="77777777" w:rsidTr="00BF57FD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D0C8624" w14:textId="77777777" w:rsidR="00451A25" w:rsidRDefault="00451A25" w:rsidP="00BF57FD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</w:rPr>
            </w:pPr>
            <w:r>
              <w:rPr>
                <w:noProof/>
                <w:color w:val="0000FF"/>
                <w:lang w:eastAsia="en-CA"/>
              </w:rPr>
              <w:drawing>
                <wp:inline distT="0" distB="0" distL="0" distR="0" wp14:anchorId="2ACCBC41" wp14:editId="0B5EDCB6">
                  <wp:extent cx="1318260" cy="1135380"/>
                  <wp:effectExtent l="0" t="0" r="0" b="7620"/>
                  <wp:docPr id="1" name="Picture 1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395" w14:textId="77777777" w:rsidR="00451A25" w:rsidRDefault="00451A25" w:rsidP="00BF57FD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03930264" w14:textId="77777777" w:rsidR="00451A25" w:rsidRDefault="00451A25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Tribunals Ontario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is comprised of 14 tribunals focused on dispute resolution in the social, property assessment, safety and licensing sectors.</w:t>
            </w:r>
          </w:p>
          <w:p w14:paraId="39CF5FD7" w14:textId="77777777" w:rsidR="00451A25" w:rsidRDefault="00451A25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</w:p>
          <w:p w14:paraId="639C86B5" w14:textId="77777777" w:rsidR="00451A25" w:rsidRDefault="00451A25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Assessment Review Board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hears appeals from persons who believe there is an error in the assessed value or classification of a property and also deals with some types of property tax appeals under the Municipal Act and City of Toronto Act. For more information contact us at:</w:t>
            </w:r>
          </w:p>
          <w:p w14:paraId="06E8B229" w14:textId="77777777" w:rsidR="00451A25" w:rsidRDefault="00451A25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280791A8" w14:textId="77777777" w:rsidR="00451A25" w:rsidRDefault="00451A25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456BADCD" w14:textId="77777777" w:rsidR="00451A25" w:rsidRDefault="00451A25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Tribunals Ontario – Assessment Review Board</w:t>
            </w:r>
          </w:p>
          <w:p w14:paraId="0549E8D3" w14:textId="4BF56EBB" w:rsidR="00451A25" w:rsidRDefault="008F0252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15 Grosvenor Street, Ground Floor, Toronto, Ontario M7A 2G6</w:t>
            </w:r>
          </w:p>
          <w:p w14:paraId="7F759687" w14:textId="6488739C" w:rsidR="00451A25" w:rsidRDefault="00451A25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Website: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ab/>
            </w:r>
            <w:hyperlink r:id="rId15" w:history="1">
              <w:r w:rsidR="001729F4" w:rsidRPr="001729F4">
                <w:rPr>
                  <w:rStyle w:val="Hyperlink"/>
                  <w:sz w:val="14"/>
                  <w:szCs w:val="14"/>
                </w:rPr>
                <w:t>http://tribunalsontario.ca/arb/</w:t>
              </w:r>
            </w:hyperlink>
          </w:p>
          <w:p w14:paraId="5D1CBBDE" w14:textId="77777777" w:rsidR="00451A25" w:rsidRDefault="00451A25" w:rsidP="00BF57FD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</w:tbl>
    <w:p w14:paraId="3A8E04A2" w14:textId="77777777" w:rsidR="00487C51" w:rsidRDefault="00487C51" w:rsidP="00487C51">
      <w:pPr>
        <w:rPr>
          <w:rFonts w:ascii="Arial" w:hAnsi="Arial" w:cs="Arial"/>
          <w:lang w:val="en-US" w:eastAsia="en-CA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402"/>
      </w:tblGrid>
      <w:tr w:rsidR="00487C51" w:rsidRPr="00F2799C" w14:paraId="0B998131" w14:textId="77777777" w:rsidTr="0074537D">
        <w:trPr>
          <w:trHeight w:val="352"/>
        </w:trPr>
        <w:tc>
          <w:tcPr>
            <w:tcW w:w="5508" w:type="dxa"/>
            <w:hideMark/>
          </w:tcPr>
          <w:p w14:paraId="0217B91C" w14:textId="77777777" w:rsidR="00487C51" w:rsidRDefault="00487C51" w:rsidP="0074537D">
            <w:pPr>
              <w:pStyle w:val="NoSpacing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DD6544">
              <w:rPr>
                <w:rFonts w:ascii="Arial" w:hAnsi="Arial" w:cs="Arial"/>
                <w:sz w:val="16"/>
              </w:rPr>
              <w:t>ISBN 0-7794-5789-X / © Queen’s printer for Ontario, 2017</w:t>
            </w:r>
          </w:p>
        </w:tc>
        <w:tc>
          <w:tcPr>
            <w:tcW w:w="5508" w:type="dxa"/>
            <w:hideMark/>
          </w:tcPr>
          <w:p w14:paraId="1E826641" w14:textId="55797BD4" w:rsidR="00487C51" w:rsidRDefault="00487C51" w:rsidP="003F6F52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 w:rsidRPr="00005FC9">
              <w:rPr>
                <w:rFonts w:ascii="Arial" w:hAnsi="Arial" w:cs="Arial"/>
                <w:sz w:val="16"/>
                <w:lang w:val="fr-CA"/>
              </w:rPr>
              <w:t xml:space="preserve">Disponible en français: Voici que vous devez savoir au sujet </w:t>
            </w:r>
            <w:r w:rsidR="003F6F52">
              <w:rPr>
                <w:rFonts w:ascii="Arial" w:hAnsi="Arial" w:cs="Arial"/>
                <w:sz w:val="16"/>
                <w:lang w:val="fr-CA"/>
              </w:rPr>
              <w:t>des parties à un appel</w:t>
            </w:r>
          </w:p>
        </w:tc>
      </w:tr>
    </w:tbl>
    <w:p w14:paraId="6D9E4B08" w14:textId="77777777" w:rsidR="00EB0240" w:rsidRPr="00487C51" w:rsidRDefault="00EB0240" w:rsidP="00487C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fr-CA" w:eastAsia="en-CA"/>
        </w:rPr>
      </w:pPr>
    </w:p>
    <w:sectPr w:rsidR="00EB0240" w:rsidRPr="00487C51" w:rsidSect="00E015A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6799" w14:textId="77777777" w:rsidR="005E2B47" w:rsidRDefault="005E2B47">
      <w:r>
        <w:separator/>
      </w:r>
    </w:p>
  </w:endnote>
  <w:endnote w:type="continuationSeparator" w:id="0">
    <w:p w14:paraId="595D870B" w14:textId="77777777" w:rsidR="005E2B47" w:rsidRDefault="005E2B47">
      <w:r>
        <w:continuationSeparator/>
      </w:r>
    </w:p>
  </w:endnote>
  <w:endnote w:type="continuationNotice" w:id="1">
    <w:p w14:paraId="060BE96D" w14:textId="77777777" w:rsidR="005E2B47" w:rsidRDefault="005E2B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A9C6" w14:textId="77777777" w:rsidR="00451A25" w:rsidRDefault="00451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F5E4" w14:textId="010DBC6F" w:rsidR="004E4786" w:rsidRPr="00685B8A" w:rsidRDefault="005B3FD2" w:rsidP="001511FD">
    <w:pPr>
      <w:pStyle w:val="Footer"/>
      <w:pBdr>
        <w:top w:val="thinThickLargeGap" w:sz="24" w:space="1" w:color="auto"/>
      </w:pBdr>
      <w:rPr>
        <w:rStyle w:val="PageNumber"/>
        <w:rFonts w:ascii="Arial" w:hAnsi="Arial" w:cs="Arial"/>
        <w:sz w:val="20"/>
        <w:szCs w:val="20"/>
      </w:rPr>
    </w:pPr>
    <w:r w:rsidRPr="00685B8A">
      <w:rPr>
        <w:rFonts w:ascii="Arial" w:hAnsi="Arial" w:cs="Arial"/>
        <w:sz w:val="20"/>
        <w:szCs w:val="20"/>
      </w:rPr>
      <w:t>ARB</w:t>
    </w:r>
    <w:r w:rsidR="00E015A7" w:rsidRPr="00685B8A">
      <w:rPr>
        <w:rFonts w:ascii="Arial" w:hAnsi="Arial" w:cs="Arial"/>
        <w:sz w:val="20"/>
        <w:szCs w:val="20"/>
      </w:rPr>
      <w:t xml:space="preserve"> </w:t>
    </w:r>
    <w:r w:rsidR="004E4786" w:rsidRPr="00685B8A">
      <w:rPr>
        <w:rFonts w:ascii="Arial" w:hAnsi="Arial" w:cs="Arial"/>
        <w:sz w:val="20"/>
        <w:szCs w:val="20"/>
      </w:rPr>
      <w:t>Info</w:t>
    </w:r>
    <w:r w:rsidR="00A02767" w:rsidRPr="00685B8A">
      <w:rPr>
        <w:rFonts w:ascii="Arial" w:hAnsi="Arial" w:cs="Arial"/>
        <w:sz w:val="20"/>
        <w:szCs w:val="20"/>
      </w:rPr>
      <w:t xml:space="preserve">rmation </w:t>
    </w:r>
    <w:r w:rsidR="00CF3C5E">
      <w:rPr>
        <w:rFonts w:ascii="Arial" w:hAnsi="Arial" w:cs="Arial"/>
        <w:sz w:val="20"/>
        <w:szCs w:val="20"/>
      </w:rPr>
      <w:t>Sheet</w:t>
    </w:r>
    <w:r w:rsidR="004E4786" w:rsidRPr="00685B8A">
      <w:rPr>
        <w:rFonts w:ascii="Arial" w:hAnsi="Arial" w:cs="Arial"/>
        <w:sz w:val="20"/>
        <w:szCs w:val="20"/>
      </w:rPr>
      <w:tab/>
    </w:r>
    <w:r w:rsidR="004E4786" w:rsidRPr="00685B8A">
      <w:rPr>
        <w:rFonts w:ascii="Arial" w:hAnsi="Arial" w:cs="Arial"/>
        <w:sz w:val="20"/>
        <w:szCs w:val="20"/>
      </w:rPr>
      <w:tab/>
    </w:r>
    <w:r w:rsidR="004E4786" w:rsidRPr="00685B8A">
      <w:rPr>
        <w:rFonts w:ascii="Arial" w:hAnsi="Arial" w:cs="Arial"/>
        <w:sz w:val="20"/>
        <w:szCs w:val="20"/>
      </w:rPr>
      <w:tab/>
    </w:r>
    <w:r w:rsidR="00E015A7" w:rsidRPr="00685B8A">
      <w:rPr>
        <w:rStyle w:val="PageNumber"/>
        <w:rFonts w:ascii="Arial" w:hAnsi="Arial" w:cs="Arial"/>
        <w:sz w:val="20"/>
        <w:szCs w:val="20"/>
      </w:rPr>
      <w:t xml:space="preserve">Page </w:t>
    </w:r>
    <w:r w:rsidR="007B6EFE" w:rsidRPr="00685B8A">
      <w:rPr>
        <w:rStyle w:val="PageNumber"/>
        <w:rFonts w:ascii="Arial" w:hAnsi="Arial" w:cs="Arial"/>
        <w:sz w:val="20"/>
        <w:szCs w:val="20"/>
      </w:rPr>
      <w:fldChar w:fldCharType="begin"/>
    </w:r>
    <w:r w:rsidR="00E015A7" w:rsidRPr="00685B8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7B6EFE" w:rsidRPr="00685B8A">
      <w:rPr>
        <w:rStyle w:val="PageNumber"/>
        <w:rFonts w:ascii="Arial" w:hAnsi="Arial" w:cs="Arial"/>
        <w:sz w:val="20"/>
        <w:szCs w:val="20"/>
      </w:rPr>
      <w:fldChar w:fldCharType="separate"/>
    </w:r>
    <w:r w:rsidR="00E039FD">
      <w:rPr>
        <w:rStyle w:val="PageNumber"/>
        <w:rFonts w:ascii="Arial" w:hAnsi="Arial" w:cs="Arial"/>
        <w:noProof/>
        <w:sz w:val="20"/>
        <w:szCs w:val="20"/>
      </w:rPr>
      <w:t>2</w:t>
    </w:r>
    <w:r w:rsidR="007B6EFE" w:rsidRPr="00685B8A">
      <w:rPr>
        <w:rStyle w:val="PageNumber"/>
        <w:rFonts w:ascii="Arial" w:hAnsi="Arial" w:cs="Arial"/>
        <w:sz w:val="20"/>
        <w:szCs w:val="20"/>
      </w:rPr>
      <w:fldChar w:fldCharType="end"/>
    </w:r>
    <w:r w:rsidR="00E015A7" w:rsidRPr="00685B8A">
      <w:rPr>
        <w:rStyle w:val="PageNumber"/>
        <w:rFonts w:ascii="Arial" w:hAnsi="Arial" w:cs="Arial"/>
        <w:sz w:val="20"/>
        <w:szCs w:val="20"/>
      </w:rPr>
      <w:t xml:space="preserve"> of </w:t>
    </w:r>
    <w:r w:rsidR="007B6EFE" w:rsidRPr="00685B8A">
      <w:rPr>
        <w:rStyle w:val="PageNumber"/>
        <w:rFonts w:ascii="Arial" w:hAnsi="Arial" w:cs="Arial"/>
        <w:sz w:val="20"/>
        <w:szCs w:val="20"/>
      </w:rPr>
      <w:fldChar w:fldCharType="begin"/>
    </w:r>
    <w:r w:rsidR="00E015A7" w:rsidRPr="00685B8A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7B6EFE" w:rsidRPr="00685B8A">
      <w:rPr>
        <w:rStyle w:val="PageNumber"/>
        <w:rFonts w:ascii="Arial" w:hAnsi="Arial" w:cs="Arial"/>
        <w:sz w:val="20"/>
        <w:szCs w:val="20"/>
      </w:rPr>
      <w:fldChar w:fldCharType="separate"/>
    </w:r>
    <w:r w:rsidR="00E039FD">
      <w:rPr>
        <w:rStyle w:val="PageNumber"/>
        <w:rFonts w:ascii="Arial" w:hAnsi="Arial" w:cs="Arial"/>
        <w:noProof/>
        <w:sz w:val="20"/>
        <w:szCs w:val="20"/>
      </w:rPr>
      <w:t>2</w:t>
    </w:r>
    <w:r w:rsidR="007B6EFE" w:rsidRPr="00685B8A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31BE" w14:textId="77777777" w:rsidR="00451A25" w:rsidRDefault="00451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2C9E" w14:textId="77777777" w:rsidR="005E2B47" w:rsidRDefault="005E2B47">
      <w:r>
        <w:separator/>
      </w:r>
    </w:p>
  </w:footnote>
  <w:footnote w:type="continuationSeparator" w:id="0">
    <w:p w14:paraId="11A9B9A0" w14:textId="77777777" w:rsidR="005E2B47" w:rsidRDefault="005E2B47">
      <w:r>
        <w:continuationSeparator/>
      </w:r>
    </w:p>
  </w:footnote>
  <w:footnote w:type="continuationNotice" w:id="1">
    <w:p w14:paraId="1BEDA044" w14:textId="77777777" w:rsidR="005E2B47" w:rsidRDefault="005E2B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D08B" w14:textId="77777777" w:rsidR="00451A25" w:rsidRDefault="00451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36C7" w14:textId="77777777" w:rsidR="00451A25" w:rsidRDefault="00451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2FA1" w14:textId="77777777" w:rsidR="00451A25" w:rsidRDefault="00451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4A"/>
    <w:multiLevelType w:val="hybridMultilevel"/>
    <w:tmpl w:val="EFE0E76A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" w15:restartNumberingAfterBreak="0">
    <w:nsid w:val="057037D6"/>
    <w:multiLevelType w:val="hybridMultilevel"/>
    <w:tmpl w:val="AF1AF1A8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1DC6"/>
    <w:multiLevelType w:val="hybridMultilevel"/>
    <w:tmpl w:val="C84ECCC8"/>
    <w:lvl w:ilvl="0" w:tplc="1C02DE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A6E88"/>
    <w:multiLevelType w:val="hybridMultilevel"/>
    <w:tmpl w:val="45B20E9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27790560"/>
    <w:multiLevelType w:val="hybridMultilevel"/>
    <w:tmpl w:val="D728BC4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0FD"/>
    <w:multiLevelType w:val="hybridMultilevel"/>
    <w:tmpl w:val="9FBA3AFC"/>
    <w:lvl w:ilvl="0" w:tplc="445E4DAC">
      <w:start w:val="1"/>
      <w:numFmt w:val="lowerLetter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277057DC">
      <w:start w:val="1"/>
      <w:numFmt w:val="lowerRoman"/>
      <w:lvlText w:val="%2."/>
      <w:lvlJc w:val="right"/>
      <w:pPr>
        <w:tabs>
          <w:tab w:val="num" w:pos="1307"/>
        </w:tabs>
        <w:ind w:left="130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26CA5"/>
    <w:multiLevelType w:val="hybridMultilevel"/>
    <w:tmpl w:val="924AA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976E5"/>
    <w:multiLevelType w:val="hybridMultilevel"/>
    <w:tmpl w:val="FE48D7A6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1" w15:restartNumberingAfterBreak="0">
    <w:nsid w:val="42D06CA1"/>
    <w:multiLevelType w:val="hybridMultilevel"/>
    <w:tmpl w:val="75C2155C"/>
    <w:lvl w:ilvl="0" w:tplc="53FECA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2367D"/>
    <w:multiLevelType w:val="hybridMultilevel"/>
    <w:tmpl w:val="0E74E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E323B"/>
    <w:multiLevelType w:val="hybridMultilevel"/>
    <w:tmpl w:val="58F4EE2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5F0C275B"/>
    <w:multiLevelType w:val="hybridMultilevel"/>
    <w:tmpl w:val="1C8C9392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210193F"/>
    <w:multiLevelType w:val="hybridMultilevel"/>
    <w:tmpl w:val="77F212E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74537"/>
    <w:multiLevelType w:val="hybridMultilevel"/>
    <w:tmpl w:val="4906DD6E"/>
    <w:lvl w:ilvl="0" w:tplc="8F46ED1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3"/>
  </w:num>
  <w:num w:numId="5">
    <w:abstractNumId w:val="8"/>
  </w:num>
  <w:num w:numId="6">
    <w:abstractNumId w:val="3"/>
  </w:num>
  <w:num w:numId="7">
    <w:abstractNumId w:val="16"/>
  </w:num>
  <w:num w:numId="8">
    <w:abstractNumId w:val="10"/>
  </w:num>
  <w:num w:numId="9">
    <w:abstractNumId w:val="14"/>
  </w:num>
  <w:num w:numId="10">
    <w:abstractNumId w:val="0"/>
  </w:num>
  <w:num w:numId="11">
    <w:abstractNumId w:val="15"/>
  </w:num>
  <w:num w:numId="12">
    <w:abstractNumId w:val="7"/>
  </w:num>
  <w:num w:numId="13">
    <w:abstractNumId w:val="2"/>
  </w:num>
  <w:num w:numId="14">
    <w:abstractNumId w:val="6"/>
  </w:num>
  <w:num w:numId="15">
    <w:abstractNumId w:val="12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>
      <o:colormru v:ext="edit" colors="#99a69c,#dee1d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03887"/>
    <w:rsid w:val="00005FC9"/>
    <w:rsid w:val="00053E63"/>
    <w:rsid w:val="000563DD"/>
    <w:rsid w:val="00070269"/>
    <w:rsid w:val="000879F8"/>
    <w:rsid w:val="000F3ECD"/>
    <w:rsid w:val="00114B16"/>
    <w:rsid w:val="00117749"/>
    <w:rsid w:val="0013178A"/>
    <w:rsid w:val="00135C2E"/>
    <w:rsid w:val="001361A9"/>
    <w:rsid w:val="001511FD"/>
    <w:rsid w:val="00157996"/>
    <w:rsid w:val="00161ED0"/>
    <w:rsid w:val="001729F4"/>
    <w:rsid w:val="00181EA7"/>
    <w:rsid w:val="0019002A"/>
    <w:rsid w:val="0019539A"/>
    <w:rsid w:val="001A4F88"/>
    <w:rsid w:val="001B45D0"/>
    <w:rsid w:val="001B67BA"/>
    <w:rsid w:val="001E045A"/>
    <w:rsid w:val="001F0ACF"/>
    <w:rsid w:val="00201661"/>
    <w:rsid w:val="0024000B"/>
    <w:rsid w:val="00260024"/>
    <w:rsid w:val="00265007"/>
    <w:rsid w:val="00271665"/>
    <w:rsid w:val="002826AB"/>
    <w:rsid w:val="00283BB5"/>
    <w:rsid w:val="002B3C56"/>
    <w:rsid w:val="002E179A"/>
    <w:rsid w:val="00307A19"/>
    <w:rsid w:val="003148F1"/>
    <w:rsid w:val="003170DD"/>
    <w:rsid w:val="003406F7"/>
    <w:rsid w:val="00347271"/>
    <w:rsid w:val="00350BB1"/>
    <w:rsid w:val="00357C7F"/>
    <w:rsid w:val="003609EC"/>
    <w:rsid w:val="00362704"/>
    <w:rsid w:val="003730EC"/>
    <w:rsid w:val="003731C1"/>
    <w:rsid w:val="00375076"/>
    <w:rsid w:val="003C4E55"/>
    <w:rsid w:val="003C7BBE"/>
    <w:rsid w:val="003D1512"/>
    <w:rsid w:val="003E1088"/>
    <w:rsid w:val="003E5415"/>
    <w:rsid w:val="003F3881"/>
    <w:rsid w:val="003F623F"/>
    <w:rsid w:val="003F6F52"/>
    <w:rsid w:val="00412C88"/>
    <w:rsid w:val="00416681"/>
    <w:rsid w:val="00422CE4"/>
    <w:rsid w:val="00426CC6"/>
    <w:rsid w:val="004277D5"/>
    <w:rsid w:val="00441034"/>
    <w:rsid w:val="004411D3"/>
    <w:rsid w:val="0044216E"/>
    <w:rsid w:val="0045140D"/>
    <w:rsid w:val="00451A25"/>
    <w:rsid w:val="00467D4E"/>
    <w:rsid w:val="004807F3"/>
    <w:rsid w:val="00487C51"/>
    <w:rsid w:val="004948F6"/>
    <w:rsid w:val="004A6228"/>
    <w:rsid w:val="004A7315"/>
    <w:rsid w:val="004C5EAB"/>
    <w:rsid w:val="004E4786"/>
    <w:rsid w:val="00507DC4"/>
    <w:rsid w:val="0051023E"/>
    <w:rsid w:val="00545789"/>
    <w:rsid w:val="0057428F"/>
    <w:rsid w:val="005A2AAE"/>
    <w:rsid w:val="005B3FD2"/>
    <w:rsid w:val="005C5838"/>
    <w:rsid w:val="005D06BB"/>
    <w:rsid w:val="005E2B47"/>
    <w:rsid w:val="00611DD8"/>
    <w:rsid w:val="006570DF"/>
    <w:rsid w:val="0067474C"/>
    <w:rsid w:val="00680E8E"/>
    <w:rsid w:val="00685B8A"/>
    <w:rsid w:val="00693A1D"/>
    <w:rsid w:val="006F40A6"/>
    <w:rsid w:val="006F4668"/>
    <w:rsid w:val="00701C84"/>
    <w:rsid w:val="00711F08"/>
    <w:rsid w:val="00724430"/>
    <w:rsid w:val="00753AD7"/>
    <w:rsid w:val="0076487B"/>
    <w:rsid w:val="00776AC3"/>
    <w:rsid w:val="00791E67"/>
    <w:rsid w:val="007B1FAC"/>
    <w:rsid w:val="007B6EFE"/>
    <w:rsid w:val="007C14BE"/>
    <w:rsid w:val="007C4E87"/>
    <w:rsid w:val="007E4F2A"/>
    <w:rsid w:val="007F0AE7"/>
    <w:rsid w:val="00810AFA"/>
    <w:rsid w:val="008178CD"/>
    <w:rsid w:val="0082232A"/>
    <w:rsid w:val="008227AD"/>
    <w:rsid w:val="008349E9"/>
    <w:rsid w:val="0085633D"/>
    <w:rsid w:val="0086454B"/>
    <w:rsid w:val="00874178"/>
    <w:rsid w:val="008D0F6C"/>
    <w:rsid w:val="008D186F"/>
    <w:rsid w:val="008D4B82"/>
    <w:rsid w:val="008F0252"/>
    <w:rsid w:val="008F3641"/>
    <w:rsid w:val="00916A9A"/>
    <w:rsid w:val="009263C2"/>
    <w:rsid w:val="00926E7E"/>
    <w:rsid w:val="00951060"/>
    <w:rsid w:val="0096568C"/>
    <w:rsid w:val="00977B1B"/>
    <w:rsid w:val="00977B71"/>
    <w:rsid w:val="00987022"/>
    <w:rsid w:val="009A799C"/>
    <w:rsid w:val="009D20DA"/>
    <w:rsid w:val="009F0418"/>
    <w:rsid w:val="00A00666"/>
    <w:rsid w:val="00A02767"/>
    <w:rsid w:val="00A04E28"/>
    <w:rsid w:val="00A11F6A"/>
    <w:rsid w:val="00A15631"/>
    <w:rsid w:val="00A22441"/>
    <w:rsid w:val="00A3147D"/>
    <w:rsid w:val="00A5250A"/>
    <w:rsid w:val="00A56ABE"/>
    <w:rsid w:val="00A77017"/>
    <w:rsid w:val="00A94B3D"/>
    <w:rsid w:val="00A96FE8"/>
    <w:rsid w:val="00AA34D4"/>
    <w:rsid w:val="00AB3853"/>
    <w:rsid w:val="00AC1D54"/>
    <w:rsid w:val="00AE2B3A"/>
    <w:rsid w:val="00B00AFB"/>
    <w:rsid w:val="00B06941"/>
    <w:rsid w:val="00B2507A"/>
    <w:rsid w:val="00B422F9"/>
    <w:rsid w:val="00B535B1"/>
    <w:rsid w:val="00B57D3E"/>
    <w:rsid w:val="00B662FB"/>
    <w:rsid w:val="00B80D3A"/>
    <w:rsid w:val="00B9042A"/>
    <w:rsid w:val="00B92CC8"/>
    <w:rsid w:val="00BA01A7"/>
    <w:rsid w:val="00BB3943"/>
    <w:rsid w:val="00BE6A42"/>
    <w:rsid w:val="00BE73B2"/>
    <w:rsid w:val="00BF08D4"/>
    <w:rsid w:val="00C30617"/>
    <w:rsid w:val="00C33673"/>
    <w:rsid w:val="00C5247F"/>
    <w:rsid w:val="00C70A42"/>
    <w:rsid w:val="00C70A7E"/>
    <w:rsid w:val="00C74394"/>
    <w:rsid w:val="00C747EF"/>
    <w:rsid w:val="00C76770"/>
    <w:rsid w:val="00C77848"/>
    <w:rsid w:val="00C86751"/>
    <w:rsid w:val="00C93587"/>
    <w:rsid w:val="00CA08B6"/>
    <w:rsid w:val="00CA10C5"/>
    <w:rsid w:val="00CB1492"/>
    <w:rsid w:val="00CC2B22"/>
    <w:rsid w:val="00CC5C00"/>
    <w:rsid w:val="00CF1498"/>
    <w:rsid w:val="00CF3C5E"/>
    <w:rsid w:val="00CF572F"/>
    <w:rsid w:val="00D11C61"/>
    <w:rsid w:val="00D27176"/>
    <w:rsid w:val="00D525BB"/>
    <w:rsid w:val="00D800B7"/>
    <w:rsid w:val="00DD4A96"/>
    <w:rsid w:val="00DD6544"/>
    <w:rsid w:val="00DF0F51"/>
    <w:rsid w:val="00E015A7"/>
    <w:rsid w:val="00E0203D"/>
    <w:rsid w:val="00E033FC"/>
    <w:rsid w:val="00E039FD"/>
    <w:rsid w:val="00E1019B"/>
    <w:rsid w:val="00E840C7"/>
    <w:rsid w:val="00EA1B62"/>
    <w:rsid w:val="00EB0240"/>
    <w:rsid w:val="00EB79F5"/>
    <w:rsid w:val="00EC3C89"/>
    <w:rsid w:val="00ED4A31"/>
    <w:rsid w:val="00F06F96"/>
    <w:rsid w:val="00F2799C"/>
    <w:rsid w:val="00F57420"/>
    <w:rsid w:val="00F77637"/>
    <w:rsid w:val="00FA60F6"/>
    <w:rsid w:val="00FA69B3"/>
    <w:rsid w:val="00FA7464"/>
    <w:rsid w:val="00FB05A8"/>
    <w:rsid w:val="00FB389A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6DB899A0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EFE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4C5EAB"/>
    <w:pPr>
      <w:autoSpaceDE w:val="0"/>
      <w:autoSpaceDN w:val="0"/>
      <w:adjustRightInd w:val="0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Normal"/>
    <w:next w:val="Normal"/>
    <w:qFormat/>
    <w:rsid w:val="00422CE4"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rsid w:val="00422CE4"/>
    <w:pPr>
      <w:keepNext/>
      <w:autoSpaceDE w:val="0"/>
      <w:autoSpaceDN w:val="0"/>
      <w:adjustRightInd w:val="0"/>
      <w:ind w:left="113"/>
      <w:outlineLvl w:val="4"/>
    </w:pPr>
    <w:rPr>
      <w:rFonts w:ascii="Tahoma" w:hAnsi="Tahoma" w:cs="Tahoma"/>
      <w:b/>
      <w:b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BodyText3">
    <w:name w:val="Body Text 3"/>
    <w:basedOn w:val="Normal"/>
    <w:rsid w:val="00422CE4"/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rsid w:val="00422CE4"/>
    <w:pPr>
      <w:autoSpaceDE w:val="0"/>
      <w:autoSpaceDN w:val="0"/>
      <w:adjustRightInd w:val="0"/>
      <w:ind w:left="720"/>
    </w:pPr>
    <w:rPr>
      <w:rFonts w:ascii="Tahoma" w:hAnsi="Tahoma" w:cs="Tahoma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4C5EAB"/>
    <w:pPr>
      <w:autoSpaceDE w:val="0"/>
      <w:autoSpaceDN w:val="0"/>
      <w:adjustRightInd w:val="0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link w:val="Title"/>
    <w:rsid w:val="004C5EAB"/>
    <w:rPr>
      <w:rFonts w:ascii="Arial" w:hAnsi="Arial" w:cs="Arial"/>
      <w:b/>
      <w:sz w:val="28"/>
      <w:szCs w:val="28"/>
      <w:lang w:eastAsia="en-US"/>
    </w:rPr>
  </w:style>
  <w:style w:type="paragraph" w:styleId="NormalWeb">
    <w:name w:val="Normal (Web)"/>
    <w:basedOn w:val="Normal"/>
    <w:rsid w:val="00693A1D"/>
  </w:style>
  <w:style w:type="character" w:styleId="CommentReference">
    <w:name w:val="annotation reference"/>
    <w:rsid w:val="00693A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3A1D"/>
    <w:rPr>
      <w:sz w:val="20"/>
      <w:szCs w:val="20"/>
    </w:rPr>
  </w:style>
  <w:style w:type="character" w:customStyle="1" w:styleId="CommentTextChar">
    <w:name w:val="Comment Text Char"/>
    <w:link w:val="CommentText"/>
    <w:rsid w:val="00693A1D"/>
    <w:rPr>
      <w:lang w:eastAsia="en-US"/>
    </w:rPr>
  </w:style>
  <w:style w:type="paragraph" w:styleId="BodyText">
    <w:name w:val="Body Text"/>
    <w:basedOn w:val="Normal"/>
    <w:link w:val="BodyTextChar"/>
    <w:rsid w:val="00FF37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3711"/>
    <w:rPr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D4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4A96"/>
    <w:rPr>
      <w:b/>
      <w:bCs/>
      <w:lang w:val="en-CA" w:eastAsia="en-US"/>
    </w:rPr>
  </w:style>
  <w:style w:type="paragraph" w:styleId="NoSpacing">
    <w:name w:val="No Spacing"/>
    <w:uiPriority w:val="1"/>
    <w:qFormat/>
    <w:rsid w:val="00DD6544"/>
    <w:rPr>
      <w:sz w:val="24"/>
      <w:szCs w:val="24"/>
      <w:lang w:val="en-CA"/>
    </w:rPr>
  </w:style>
  <w:style w:type="table" w:styleId="TableGrid">
    <w:name w:val="Table Grid"/>
    <w:basedOn w:val="TableNormal"/>
    <w:rsid w:val="00DD65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1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.registrar@ontario.ca" TargetMode="External"/><Relationship Id="rId13" Type="http://schemas.openxmlformats.org/officeDocument/2006/relationships/hyperlink" Target="mailto:arb.registrar@ontario.c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tribunalsontario.ca/arb/legislation-and-rules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b.registrar@ontario.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ibunalsontario.ca/arb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ibunalsontario.ca/arb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mah.gov.on.ca/Page1591.aspx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4063</CharactersWithSpaces>
  <SharedDoc>false</SharedDoc>
  <HLinks>
    <vt:vector size="24" baseType="variant"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12</cp:revision>
  <cp:lastPrinted>2021-10-07T15:18:00Z</cp:lastPrinted>
  <dcterms:created xsi:type="dcterms:W3CDTF">2020-06-19T18:51:00Z</dcterms:created>
  <dcterms:modified xsi:type="dcterms:W3CDTF">2023-06-08T12:33:00Z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2021-10-05T19:01:50Z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b4d0e565-2b1c-41e2-b09a-2e4c9edcd146</vt:lpwstr>
  </property>
  <property fmtid="{D5CDD505-2E9C-101B-9397-08002B2CF9AE}" pid="8" name="MSIP_Label_034a106e-6316-442c-ad35-738afd673d2b_ContentBits">
    <vt:lpwstr>0</vt:lpwstr>
  </property>
</Properties>
</file>