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AECD" w14:textId="00A2CFD8" w:rsidR="00353CAF" w:rsidRDefault="00135EBF" w:rsidP="00353CAF">
      <w:pPr>
        <w:pStyle w:val="NoSpacing"/>
        <w:rPr>
          <w:rStyle w:val="TitleChar"/>
        </w:rPr>
      </w:pPr>
      <w:r>
        <w:rPr>
          <w:noProof/>
        </w:rPr>
        <w:drawing>
          <wp:inline distT="0" distB="0" distL="0" distR="0" wp14:anchorId="3FFBB957" wp14:editId="37020A6F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B8B1" w14:textId="77777777" w:rsidR="00AC3361" w:rsidRPr="00C0656C" w:rsidRDefault="00AC3361" w:rsidP="00AC3361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(Disponible en français)</w:t>
      </w:r>
    </w:p>
    <w:p w14:paraId="1CEABE93" w14:textId="7E68E526" w:rsidR="00353CAF" w:rsidRPr="004061F0" w:rsidRDefault="007B4E51" w:rsidP="007B4E51">
      <w:pPr>
        <w:pStyle w:val="NoSpacing"/>
        <w:jc w:val="center"/>
        <w:rPr>
          <w:rStyle w:val="TitleChar"/>
        </w:rPr>
      </w:pPr>
      <w:r w:rsidRPr="004061F0">
        <w:rPr>
          <w:rStyle w:val="TitleChar"/>
        </w:rPr>
        <w:t>A</w:t>
      </w:r>
      <w:r w:rsidR="00353CAF" w:rsidRPr="004061F0">
        <w:rPr>
          <w:rStyle w:val="TitleChar"/>
        </w:rPr>
        <w:t>ffidavits</w:t>
      </w:r>
      <w:r w:rsidR="00617E4A" w:rsidRPr="004061F0">
        <w:rPr>
          <w:rStyle w:val="TitleChar"/>
        </w:rPr>
        <w:t>:</w:t>
      </w:r>
    </w:p>
    <w:p w14:paraId="749DC78B" w14:textId="31B4BCD5" w:rsidR="00617E4A" w:rsidRDefault="00617E4A" w:rsidP="007B4E51">
      <w:pPr>
        <w:pStyle w:val="NoSpacing"/>
        <w:jc w:val="center"/>
        <w:rPr>
          <w:rStyle w:val="TitleChar"/>
        </w:rPr>
      </w:pPr>
      <w:r w:rsidRPr="004061F0">
        <w:rPr>
          <w:rStyle w:val="TitleChar"/>
        </w:rPr>
        <w:t>Written Testimony</w:t>
      </w:r>
    </w:p>
    <w:p w14:paraId="7DBD05AD" w14:textId="77777777" w:rsidR="004061F0" w:rsidRPr="004061F0" w:rsidRDefault="004061F0" w:rsidP="007B4E51">
      <w:pPr>
        <w:pStyle w:val="NoSpacing"/>
        <w:jc w:val="center"/>
        <w:rPr>
          <w:rStyle w:val="TitleChar"/>
        </w:rPr>
      </w:pPr>
    </w:p>
    <w:p w14:paraId="63FD1DE6" w14:textId="77777777" w:rsidR="00353CAF" w:rsidRDefault="00353CAF" w:rsidP="005A4528">
      <w:pPr>
        <w:pStyle w:val="NoSpacing"/>
        <w:rPr>
          <w:rStyle w:val="TitleChar"/>
        </w:rPr>
      </w:pPr>
      <w:r w:rsidRPr="00353CAF">
        <w:rPr>
          <w:rStyle w:val="TitleChar"/>
        </w:rPr>
        <w:t>What is an affidavit?</w:t>
      </w:r>
    </w:p>
    <w:p w14:paraId="0070EAE2" w14:textId="77777777" w:rsidR="00AB220A" w:rsidRDefault="00AB220A" w:rsidP="005A4528">
      <w:pPr>
        <w:pStyle w:val="NoSpacing"/>
        <w:rPr>
          <w:rFonts w:ascii="Arial" w:hAnsi="Arial" w:cs="Arial"/>
        </w:rPr>
      </w:pPr>
    </w:p>
    <w:p w14:paraId="06EF89EA" w14:textId="77777777" w:rsidR="00353CAF" w:rsidRDefault="00353CAF" w:rsidP="005A4528">
      <w:pPr>
        <w:pStyle w:val="NoSpacing"/>
      </w:pPr>
      <w:r w:rsidRPr="008818BB">
        <w:rPr>
          <w:rFonts w:ascii="Arial" w:hAnsi="Arial" w:cs="Arial"/>
        </w:rPr>
        <w:t>An affidavit is a sworn</w:t>
      </w:r>
      <w:r w:rsidR="00642696">
        <w:rPr>
          <w:rFonts w:ascii="Arial" w:hAnsi="Arial" w:cs="Arial"/>
        </w:rPr>
        <w:t>,</w:t>
      </w:r>
      <w:r w:rsidR="006D4366">
        <w:rPr>
          <w:rFonts w:ascii="Arial" w:hAnsi="Arial" w:cs="Arial"/>
        </w:rPr>
        <w:t xml:space="preserve"> or affirmed</w:t>
      </w:r>
      <w:r w:rsidRPr="008818BB">
        <w:rPr>
          <w:rFonts w:ascii="Arial" w:hAnsi="Arial" w:cs="Arial"/>
        </w:rPr>
        <w:t>, legal document</w:t>
      </w:r>
      <w:r w:rsidR="006D4366">
        <w:rPr>
          <w:rFonts w:ascii="Arial" w:hAnsi="Arial" w:cs="Arial"/>
        </w:rPr>
        <w:t>.</w:t>
      </w:r>
      <w:r w:rsidRPr="008818BB">
        <w:rPr>
          <w:rFonts w:ascii="Arial" w:hAnsi="Arial" w:cs="Arial"/>
        </w:rPr>
        <w:t xml:space="preserve">  It is a written statement </w:t>
      </w:r>
      <w:r w:rsidR="00493D5F">
        <w:rPr>
          <w:rFonts w:ascii="Arial" w:hAnsi="Arial" w:cs="Arial"/>
        </w:rPr>
        <w:t xml:space="preserve">that </w:t>
      </w:r>
      <w:r w:rsidR="00693DB8">
        <w:rPr>
          <w:rFonts w:ascii="Arial" w:hAnsi="Arial" w:cs="Arial"/>
        </w:rPr>
        <w:t>serves as evidence</w:t>
      </w:r>
      <w:r w:rsidRPr="008818BB">
        <w:rPr>
          <w:rFonts w:ascii="Arial" w:hAnsi="Arial" w:cs="Arial"/>
        </w:rPr>
        <w:t>.</w:t>
      </w:r>
      <w:r w:rsidR="00642696">
        <w:rPr>
          <w:rFonts w:ascii="Arial" w:hAnsi="Arial" w:cs="Arial"/>
        </w:rPr>
        <w:t xml:space="preserve"> </w:t>
      </w:r>
      <w:r w:rsidRPr="008818BB">
        <w:rPr>
          <w:rFonts w:ascii="Arial" w:hAnsi="Arial" w:cs="Arial"/>
        </w:rPr>
        <w:t xml:space="preserve"> For an affidavit to be valid, you must swear or affirm</w:t>
      </w:r>
      <w:r w:rsidR="00693DB8" w:rsidRPr="00693DB8">
        <w:rPr>
          <w:rFonts w:ascii="Arial" w:hAnsi="Arial" w:cs="Arial"/>
        </w:rPr>
        <w:t xml:space="preserve"> </w:t>
      </w:r>
      <w:r w:rsidR="00693DB8" w:rsidRPr="008818BB">
        <w:rPr>
          <w:rFonts w:ascii="Arial" w:hAnsi="Arial" w:cs="Arial"/>
        </w:rPr>
        <w:t>before an authorized person</w:t>
      </w:r>
      <w:r w:rsidRPr="008818BB">
        <w:rPr>
          <w:rFonts w:ascii="Arial" w:hAnsi="Arial" w:cs="Arial"/>
        </w:rPr>
        <w:t xml:space="preserve"> that </w:t>
      </w:r>
      <w:r w:rsidR="00693DB8">
        <w:rPr>
          <w:rFonts w:ascii="Arial" w:hAnsi="Arial" w:cs="Arial"/>
        </w:rPr>
        <w:t xml:space="preserve">your </w:t>
      </w:r>
      <w:r w:rsidR="00170603">
        <w:rPr>
          <w:rFonts w:ascii="Arial" w:hAnsi="Arial" w:cs="Arial"/>
        </w:rPr>
        <w:t>statement</w:t>
      </w:r>
      <w:r w:rsidR="00693DB8">
        <w:rPr>
          <w:rFonts w:ascii="Arial" w:hAnsi="Arial" w:cs="Arial"/>
        </w:rPr>
        <w:t>s</w:t>
      </w:r>
      <w:r w:rsidR="00170603">
        <w:rPr>
          <w:rFonts w:ascii="Arial" w:hAnsi="Arial" w:cs="Arial"/>
        </w:rPr>
        <w:t xml:space="preserve"> </w:t>
      </w:r>
      <w:r w:rsidR="00693DB8">
        <w:rPr>
          <w:rFonts w:ascii="Arial" w:hAnsi="Arial" w:cs="Arial"/>
        </w:rPr>
        <w:t>in the affidavit are</w:t>
      </w:r>
      <w:r w:rsidRPr="008818BB">
        <w:rPr>
          <w:rFonts w:ascii="Arial" w:hAnsi="Arial" w:cs="Arial"/>
        </w:rPr>
        <w:t xml:space="preserve"> true</w:t>
      </w:r>
      <w:r w:rsidR="00693DB8">
        <w:rPr>
          <w:rFonts w:ascii="Arial" w:hAnsi="Arial" w:cs="Arial"/>
        </w:rPr>
        <w:t>.</w:t>
      </w:r>
      <w:r>
        <w:t xml:space="preserve"> </w:t>
      </w:r>
      <w:r w:rsidR="00B81911">
        <w:t xml:space="preserve"> </w:t>
      </w:r>
      <w:r w:rsidR="00B81911" w:rsidRPr="00642696">
        <w:rPr>
          <w:rFonts w:ascii="Arial" w:hAnsi="Arial" w:cs="Arial"/>
        </w:rPr>
        <w:t>More information about who can authorize an affidavit is set out below.</w:t>
      </w:r>
      <w:r>
        <w:br/>
      </w:r>
    </w:p>
    <w:p w14:paraId="2E8A9720" w14:textId="77777777" w:rsidR="00353CAF" w:rsidRDefault="00353CAF" w:rsidP="005A4528">
      <w:pPr>
        <w:pStyle w:val="NoSpacing"/>
        <w:rPr>
          <w:rFonts w:ascii="Arial" w:hAnsi="Arial" w:cs="Arial"/>
        </w:rPr>
      </w:pPr>
      <w:r w:rsidRPr="008B3559">
        <w:rPr>
          <w:rFonts w:ascii="Arial" w:hAnsi="Arial" w:cs="Arial"/>
          <w:b/>
        </w:rPr>
        <w:t>Please note:</w:t>
      </w:r>
      <w:r w:rsidRPr="008818BB">
        <w:rPr>
          <w:rFonts w:ascii="Arial" w:hAnsi="Arial" w:cs="Arial"/>
        </w:rPr>
        <w:t xml:space="preserve"> You may attach documents to the affidavit if you wish</w:t>
      </w:r>
      <w:r>
        <w:rPr>
          <w:rFonts w:ascii="Arial" w:hAnsi="Arial" w:cs="Arial"/>
        </w:rPr>
        <w:t>.</w:t>
      </w:r>
      <w:r w:rsidR="00B0398F">
        <w:rPr>
          <w:rFonts w:ascii="Arial" w:hAnsi="Arial" w:cs="Arial"/>
          <w:b/>
          <w:bCs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F0187" wp14:editId="6AAA8968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113665" cy="8404860"/>
                <wp:effectExtent l="9525" t="12700" r="10160" b="1206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840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A69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1A85CC" id="AutoShape 8" o:spid="_x0000_s1026" style="position:absolute;margin-left:-45pt;margin-top:4pt;width:8.95pt;height:6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" fillcolor="#99a69c"/>
            </w:pict>
          </mc:Fallback>
        </mc:AlternateContent>
      </w:r>
      <w:r w:rsidR="00693DB8">
        <w:rPr>
          <w:rFonts w:ascii="Arial" w:hAnsi="Arial" w:cs="Arial"/>
        </w:rPr>
        <w:t xml:space="preserve">  These are called exhibits. </w:t>
      </w:r>
    </w:p>
    <w:p w14:paraId="15D45FB0" w14:textId="77777777" w:rsidR="00353CAF" w:rsidRPr="008818BB" w:rsidRDefault="00353CAF" w:rsidP="005A4528">
      <w:pPr>
        <w:pStyle w:val="NoSpacing"/>
        <w:rPr>
          <w:rFonts w:ascii="Arial" w:hAnsi="Arial" w:cs="Arial"/>
        </w:rPr>
      </w:pPr>
    </w:p>
    <w:p w14:paraId="0F678F7C" w14:textId="77777777" w:rsidR="00353CAF" w:rsidRPr="008818BB" w:rsidRDefault="00353CAF" w:rsidP="005A4528">
      <w:pPr>
        <w:pStyle w:val="NoSpacing"/>
        <w:rPr>
          <w:rFonts w:ascii="Arial" w:hAnsi="Arial" w:cs="Arial"/>
        </w:rPr>
      </w:pPr>
      <w:r w:rsidRPr="00FA6370">
        <w:rPr>
          <w:rStyle w:val="TitleChar"/>
        </w:rPr>
        <w:t>When will I need an affidavit?</w:t>
      </w:r>
    </w:p>
    <w:p w14:paraId="12F84E25" w14:textId="77777777" w:rsidR="00AB220A" w:rsidRDefault="00AB220A" w:rsidP="005A4528">
      <w:pPr>
        <w:pStyle w:val="NoSpacing"/>
        <w:rPr>
          <w:rFonts w:ascii="Arial" w:hAnsi="Arial" w:cs="Arial"/>
        </w:rPr>
      </w:pPr>
    </w:p>
    <w:p w14:paraId="5ADAA536" w14:textId="77777777" w:rsidR="005B7822" w:rsidRDefault="00693DB8" w:rsidP="005A4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An affidavit </w:t>
      </w:r>
      <w:r w:rsidR="00CD5E95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provide written evidence in a variety of circumstances</w:t>
      </w:r>
      <w:r w:rsidR="00CD5E95">
        <w:rPr>
          <w:rFonts w:ascii="Arial" w:hAnsi="Arial" w:cs="Arial"/>
        </w:rPr>
        <w:t>,</w:t>
      </w:r>
      <w:r w:rsidR="004D3FD0">
        <w:rPr>
          <w:rFonts w:ascii="Arial" w:hAnsi="Arial" w:cs="Arial"/>
        </w:rPr>
        <w:t xml:space="preserve"> including</w:t>
      </w:r>
      <w:r>
        <w:rPr>
          <w:rFonts w:ascii="Arial" w:hAnsi="Arial" w:cs="Arial"/>
        </w:rPr>
        <w:t>:</w:t>
      </w:r>
    </w:p>
    <w:p w14:paraId="110100EB" w14:textId="77777777" w:rsidR="00642696" w:rsidRPr="008818BB" w:rsidRDefault="00642696" w:rsidP="005A4528">
      <w:pPr>
        <w:pStyle w:val="NoSpacing"/>
        <w:rPr>
          <w:rFonts w:ascii="Arial" w:hAnsi="Arial" w:cs="Arial"/>
        </w:rPr>
      </w:pPr>
    </w:p>
    <w:p w14:paraId="6E8CEF91" w14:textId="77777777" w:rsidR="00353CAF" w:rsidRDefault="00693DB8" w:rsidP="005A4528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evidence to support </w:t>
      </w:r>
      <w:r w:rsidR="00CD5E95">
        <w:rPr>
          <w:rFonts w:ascii="Arial" w:hAnsi="Arial" w:cs="Arial"/>
        </w:rPr>
        <w:t xml:space="preserve">a </w:t>
      </w:r>
      <w:r w:rsidR="00353CAF">
        <w:rPr>
          <w:rFonts w:ascii="Arial" w:hAnsi="Arial" w:cs="Arial"/>
        </w:rPr>
        <w:t xml:space="preserve">request </w:t>
      </w:r>
      <w:r w:rsidR="00642696">
        <w:rPr>
          <w:rFonts w:ascii="Arial" w:hAnsi="Arial" w:cs="Arial"/>
        </w:rPr>
        <w:t xml:space="preserve">that the ARB </w:t>
      </w:r>
      <w:r w:rsidR="00353CAF">
        <w:rPr>
          <w:rFonts w:ascii="Arial" w:hAnsi="Arial" w:cs="Arial"/>
        </w:rPr>
        <w:t>review a decision</w:t>
      </w:r>
      <w:r w:rsidR="004D3FD0">
        <w:rPr>
          <w:rFonts w:ascii="Arial" w:hAnsi="Arial" w:cs="Arial"/>
        </w:rPr>
        <w:t>;</w:t>
      </w:r>
    </w:p>
    <w:p w14:paraId="2FCF705C" w14:textId="77777777" w:rsidR="00693DB8" w:rsidRDefault="00353CAF" w:rsidP="005A4528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evidence </w:t>
      </w:r>
      <w:r w:rsidR="00693DB8">
        <w:rPr>
          <w:rFonts w:ascii="Arial" w:hAnsi="Arial" w:cs="Arial"/>
        </w:rPr>
        <w:t xml:space="preserve">in support of </w:t>
      </w:r>
      <w:r>
        <w:rPr>
          <w:rFonts w:ascii="Arial" w:hAnsi="Arial" w:cs="Arial"/>
        </w:rPr>
        <w:t xml:space="preserve">a </w:t>
      </w:r>
      <w:r w:rsidR="00CD5E95">
        <w:rPr>
          <w:rFonts w:ascii="Arial" w:hAnsi="Arial" w:cs="Arial"/>
        </w:rPr>
        <w:t xml:space="preserve">written </w:t>
      </w:r>
      <w:r>
        <w:rPr>
          <w:rFonts w:ascii="Arial" w:hAnsi="Arial" w:cs="Arial"/>
        </w:rPr>
        <w:t>motion</w:t>
      </w:r>
      <w:r w:rsidR="00693DB8">
        <w:rPr>
          <w:rFonts w:ascii="Arial" w:hAnsi="Arial" w:cs="Arial"/>
        </w:rPr>
        <w:t xml:space="preserve"> or a written hearing</w:t>
      </w:r>
      <w:r w:rsidR="004D3FD0">
        <w:rPr>
          <w:rFonts w:ascii="Arial" w:hAnsi="Arial" w:cs="Arial"/>
        </w:rPr>
        <w:t>;</w:t>
      </w:r>
    </w:p>
    <w:p w14:paraId="44163571" w14:textId="77777777" w:rsidR="00353CAF" w:rsidRDefault="00693DB8" w:rsidP="005A4528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evidence </w:t>
      </w:r>
      <w:r w:rsidR="00A01768">
        <w:rPr>
          <w:rFonts w:ascii="Arial" w:hAnsi="Arial" w:cs="Arial"/>
        </w:rPr>
        <w:t xml:space="preserve">to prove that </w:t>
      </w:r>
      <w:r>
        <w:rPr>
          <w:rFonts w:ascii="Arial" w:hAnsi="Arial" w:cs="Arial"/>
        </w:rPr>
        <w:t xml:space="preserve">a </w:t>
      </w:r>
      <w:r w:rsidR="00A01768">
        <w:rPr>
          <w:rFonts w:ascii="Arial" w:hAnsi="Arial" w:cs="Arial"/>
        </w:rPr>
        <w:t xml:space="preserve">document has been served </w:t>
      </w:r>
      <w:r w:rsidR="00642696">
        <w:rPr>
          <w:rFonts w:ascii="Arial" w:hAnsi="Arial" w:cs="Arial"/>
        </w:rPr>
        <w:t xml:space="preserve">on </w:t>
      </w:r>
      <w:r w:rsidR="00A01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another person</w:t>
      </w:r>
      <w:r w:rsidR="004D3FD0">
        <w:rPr>
          <w:rFonts w:ascii="Arial" w:hAnsi="Arial" w:cs="Arial"/>
        </w:rPr>
        <w:t>; or</w:t>
      </w:r>
    </w:p>
    <w:p w14:paraId="230CF67C" w14:textId="77777777" w:rsidR="008818BB" w:rsidRDefault="00693DB8" w:rsidP="005A4528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evidence to support a request that the ARB accept </w:t>
      </w:r>
      <w:r w:rsidR="00A01768">
        <w:rPr>
          <w:rFonts w:ascii="Arial" w:hAnsi="Arial" w:cs="Arial"/>
        </w:rPr>
        <w:t>a</w:t>
      </w:r>
      <w:r w:rsidR="00E03B4C">
        <w:rPr>
          <w:rFonts w:ascii="Arial" w:hAnsi="Arial" w:cs="Arial"/>
        </w:rPr>
        <w:t xml:space="preserve"> late</w:t>
      </w:r>
      <w:r w:rsidR="00A01768">
        <w:rPr>
          <w:rFonts w:ascii="Arial" w:hAnsi="Arial" w:cs="Arial"/>
        </w:rPr>
        <w:t xml:space="preserve"> appeal</w:t>
      </w:r>
      <w:r w:rsidR="004D3FD0">
        <w:rPr>
          <w:rFonts w:ascii="Arial" w:hAnsi="Arial" w:cs="Arial"/>
        </w:rPr>
        <w:t>.</w:t>
      </w:r>
    </w:p>
    <w:p w14:paraId="4358C2FF" w14:textId="77777777" w:rsidR="00353CAF" w:rsidRPr="00353CAF" w:rsidRDefault="00353CAF" w:rsidP="005A4528">
      <w:pPr>
        <w:pStyle w:val="NoSpacing"/>
        <w:ind w:left="720"/>
        <w:rPr>
          <w:rFonts w:ascii="Arial" w:hAnsi="Arial" w:cs="Arial"/>
        </w:rPr>
      </w:pPr>
    </w:p>
    <w:p w14:paraId="3F3D8335" w14:textId="77777777" w:rsidR="00EC2C46" w:rsidRDefault="00A64D46" w:rsidP="005A4528">
      <w:pPr>
        <w:pStyle w:val="NoSpacing"/>
        <w:rPr>
          <w:rFonts w:ascii="Arial" w:hAnsi="Arial" w:cs="Arial"/>
          <w:b/>
          <w:sz w:val="28"/>
          <w:szCs w:val="28"/>
        </w:rPr>
      </w:pPr>
      <w:r w:rsidRPr="008818BB">
        <w:rPr>
          <w:rFonts w:ascii="Arial" w:hAnsi="Arial" w:cs="Arial"/>
          <w:b/>
          <w:sz w:val="28"/>
          <w:szCs w:val="28"/>
        </w:rPr>
        <w:t>Who can help me to prepare an affidavit?</w:t>
      </w:r>
    </w:p>
    <w:p w14:paraId="35DF688A" w14:textId="77777777" w:rsidR="00AB220A" w:rsidRDefault="00AB220A" w:rsidP="005A4528">
      <w:pPr>
        <w:pStyle w:val="NoSpacing"/>
        <w:rPr>
          <w:rFonts w:ascii="Arial" w:hAnsi="Arial" w:cs="Arial"/>
        </w:rPr>
      </w:pPr>
    </w:p>
    <w:p w14:paraId="56BA3944" w14:textId="2D28A87A" w:rsidR="005F5CBA" w:rsidRDefault="00170603" w:rsidP="005A45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You may </w:t>
      </w:r>
      <w:r w:rsidR="00C019C8">
        <w:rPr>
          <w:rFonts w:ascii="Arial" w:hAnsi="Arial" w:cs="Arial"/>
        </w:rPr>
        <w:t xml:space="preserve">use the ARB affidavit form, which can be found on </w:t>
      </w:r>
      <w:hyperlink r:id="rId8" w:history="1">
        <w:r w:rsidR="00C019C8" w:rsidRPr="008A5B98">
          <w:rPr>
            <w:rStyle w:val="Hyperlink"/>
            <w:sz w:val="24"/>
            <w:szCs w:val="24"/>
          </w:rPr>
          <w:t>our website</w:t>
        </w:r>
      </w:hyperlink>
      <w:r w:rsidR="00C019C8">
        <w:rPr>
          <w:rFonts w:ascii="Arial" w:hAnsi="Arial" w:cs="Arial"/>
        </w:rPr>
        <w:t xml:space="preserve">, or you may </w:t>
      </w:r>
      <w:r>
        <w:rPr>
          <w:rFonts w:ascii="Arial" w:hAnsi="Arial" w:cs="Arial"/>
        </w:rPr>
        <w:t xml:space="preserve">look for guidelines from Canadian websites to assist you in preparing your own affidavit. </w:t>
      </w:r>
      <w:r w:rsidR="00642696">
        <w:rPr>
          <w:rFonts w:ascii="Arial" w:hAnsi="Arial" w:cs="Arial"/>
        </w:rPr>
        <w:t xml:space="preserve"> </w:t>
      </w:r>
      <w:r w:rsidR="005F5CBA" w:rsidRPr="008818BB">
        <w:rPr>
          <w:rFonts w:ascii="Arial" w:hAnsi="Arial" w:cs="Arial"/>
        </w:rPr>
        <w:t xml:space="preserve">Once an affidavit has been prepared, </w:t>
      </w:r>
      <w:r>
        <w:rPr>
          <w:rFonts w:ascii="Arial" w:hAnsi="Arial" w:cs="Arial"/>
        </w:rPr>
        <w:t>you must</w:t>
      </w:r>
      <w:r w:rsidR="00642696">
        <w:rPr>
          <w:rFonts w:ascii="Arial" w:hAnsi="Arial" w:cs="Arial"/>
        </w:rPr>
        <w:t xml:space="preserve"> affirm </w:t>
      </w:r>
      <w:r w:rsidR="00D9037B" w:rsidRPr="008818BB">
        <w:rPr>
          <w:rFonts w:ascii="Arial" w:hAnsi="Arial" w:cs="Arial"/>
        </w:rPr>
        <w:t xml:space="preserve">or swear that it is a true document. </w:t>
      </w:r>
      <w:r w:rsidR="00642696">
        <w:rPr>
          <w:rFonts w:ascii="Arial" w:hAnsi="Arial" w:cs="Arial"/>
        </w:rPr>
        <w:t xml:space="preserve"> </w:t>
      </w:r>
      <w:r w:rsidR="00171C28" w:rsidRPr="00171C28">
        <w:rPr>
          <w:rFonts w:ascii="Arial" w:hAnsi="Arial" w:cs="Arial"/>
        </w:rPr>
        <w:t>Examples of people authorized to swear or affirm an affidavit are:</w:t>
      </w:r>
    </w:p>
    <w:p w14:paraId="4133DC51" w14:textId="77777777" w:rsidR="008818BB" w:rsidRPr="008818BB" w:rsidRDefault="008818BB" w:rsidP="005A4528">
      <w:pPr>
        <w:pStyle w:val="NoSpacing"/>
        <w:rPr>
          <w:rFonts w:ascii="Arial" w:hAnsi="Arial" w:cs="Arial"/>
        </w:rPr>
      </w:pPr>
    </w:p>
    <w:p w14:paraId="7D97D781" w14:textId="77777777" w:rsidR="007243B8" w:rsidRPr="00617E4A" w:rsidRDefault="00D9037B" w:rsidP="005A452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D9037B">
        <w:rPr>
          <w:rFonts w:ascii="Arial" w:hAnsi="Arial" w:cs="Arial"/>
        </w:rPr>
        <w:t>a commissioner of oaths</w:t>
      </w:r>
      <w:r w:rsidR="00617E4A">
        <w:rPr>
          <w:rFonts w:ascii="Arial" w:hAnsi="Arial" w:cs="Arial"/>
        </w:rPr>
        <w:t>;</w:t>
      </w:r>
    </w:p>
    <w:p w14:paraId="45336606" w14:textId="77777777" w:rsidR="007243B8" w:rsidRPr="00617E4A" w:rsidRDefault="00D9037B" w:rsidP="005A452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D9037B">
        <w:rPr>
          <w:rFonts w:ascii="Arial" w:hAnsi="Arial" w:cs="Arial"/>
        </w:rPr>
        <w:t>lawyer</w:t>
      </w:r>
      <w:r w:rsidR="00617E4A">
        <w:rPr>
          <w:rFonts w:ascii="Arial" w:hAnsi="Arial" w:cs="Arial"/>
        </w:rPr>
        <w:t>;</w:t>
      </w:r>
    </w:p>
    <w:p w14:paraId="5FDDDF40" w14:textId="77777777" w:rsidR="007243B8" w:rsidRPr="00617E4A" w:rsidRDefault="00D9037B" w:rsidP="005A452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D9037B">
        <w:rPr>
          <w:rFonts w:ascii="Arial" w:hAnsi="Arial" w:cs="Arial"/>
        </w:rPr>
        <w:t>notary public</w:t>
      </w:r>
      <w:r w:rsidR="00617E4A">
        <w:rPr>
          <w:rFonts w:ascii="Arial" w:hAnsi="Arial" w:cs="Arial"/>
        </w:rPr>
        <w:t>;</w:t>
      </w:r>
    </w:p>
    <w:p w14:paraId="5DCA89BE" w14:textId="77777777" w:rsidR="007243B8" w:rsidRPr="00617E4A" w:rsidRDefault="00D9037B" w:rsidP="005A4528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justice of the peace</w:t>
      </w:r>
      <w:r w:rsidR="00617E4A">
        <w:rPr>
          <w:rFonts w:ascii="Arial" w:hAnsi="Arial" w:cs="Arial"/>
        </w:rPr>
        <w:t>;</w:t>
      </w:r>
    </w:p>
    <w:p w14:paraId="3E1322A7" w14:textId="77777777" w:rsidR="007243B8" w:rsidRPr="00617E4A" w:rsidRDefault="00D9037B" w:rsidP="005A4528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minister</w:t>
      </w:r>
      <w:r w:rsidR="00617E4A">
        <w:rPr>
          <w:rFonts w:ascii="Arial" w:hAnsi="Arial" w:cs="Arial"/>
        </w:rPr>
        <w:t>; and</w:t>
      </w:r>
    </w:p>
    <w:p w14:paraId="7F253855" w14:textId="77777777" w:rsidR="001E136F" w:rsidRDefault="00BC4243" w:rsidP="005A4528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certain officials at</w:t>
      </w:r>
      <w:r w:rsidR="001E136F">
        <w:rPr>
          <w:rFonts w:ascii="Arial" w:hAnsi="Arial" w:cs="Arial"/>
        </w:rPr>
        <w:t xml:space="preserve"> local municipalities</w:t>
      </w:r>
    </w:p>
    <w:p w14:paraId="51EF02A6" w14:textId="77777777" w:rsidR="007243B8" w:rsidRDefault="007243B8" w:rsidP="005A4528">
      <w:pPr>
        <w:pStyle w:val="ListParagraph"/>
        <w:rPr>
          <w:rFonts w:ascii="Arial" w:hAnsi="Arial" w:cs="Arial"/>
        </w:rPr>
      </w:pPr>
    </w:p>
    <w:p w14:paraId="59457830" w14:textId="77777777" w:rsidR="004D3FD0" w:rsidRDefault="004D3FD0" w:rsidP="005A4528">
      <w:pPr>
        <w:pStyle w:val="Heading1"/>
        <w:jc w:val="left"/>
        <w:rPr>
          <w:b w:val="0"/>
          <w:bCs/>
        </w:rPr>
      </w:pPr>
      <w:r w:rsidRPr="00716593">
        <w:rPr>
          <w:sz w:val="28"/>
        </w:rPr>
        <w:t>Where can I find more information?</w:t>
      </w:r>
      <w:r>
        <w:rPr>
          <w:sz w:val="28"/>
        </w:rPr>
        <w:br/>
      </w:r>
    </w:p>
    <w:p w14:paraId="7C95C641" w14:textId="77777777" w:rsidR="004061F0" w:rsidRDefault="004061F0" w:rsidP="004061F0">
      <w:pPr>
        <w:pStyle w:val="Heading1"/>
        <w:jc w:val="left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9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0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18E39EEE" w14:textId="77777777" w:rsidR="004061F0" w:rsidRPr="00CF0750" w:rsidRDefault="004061F0" w:rsidP="004061F0"/>
    <w:p w14:paraId="6F54D8EA" w14:textId="77777777" w:rsidR="004061F0" w:rsidRDefault="004061F0" w:rsidP="004061F0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68D071D4" w14:textId="77777777" w:rsidR="005A4528" w:rsidRDefault="005A4528" w:rsidP="005A4528">
      <w:pPr>
        <w:rPr>
          <w:rFonts w:ascii="Arial" w:hAnsi="Arial" w:cs="Arial"/>
          <w:b/>
          <w:sz w:val="28"/>
          <w:szCs w:val="28"/>
        </w:rPr>
      </w:pPr>
    </w:p>
    <w:p w14:paraId="1FABC449" w14:textId="77777777" w:rsidR="004D3FD0" w:rsidRPr="00025B85" w:rsidRDefault="004D3FD0" w:rsidP="005A4528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1B95D813" w14:textId="77777777" w:rsidR="005A4528" w:rsidRDefault="005A4528" w:rsidP="005A4528">
      <w:pPr>
        <w:rPr>
          <w:rFonts w:ascii="Arial" w:hAnsi="Arial" w:cs="Arial"/>
          <w:lang w:val="en-US" w:eastAsia="en-CA"/>
        </w:rPr>
      </w:pPr>
    </w:p>
    <w:p w14:paraId="31D638BD" w14:textId="77777777" w:rsidR="004061F0" w:rsidRDefault="004061F0" w:rsidP="004061F0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1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2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2F79D0FB" w14:textId="77777777" w:rsidR="00F835F4" w:rsidRDefault="00F835F4" w:rsidP="008818BB">
      <w:pPr>
        <w:pStyle w:val="NoSpacing"/>
        <w:rPr>
          <w:color w:val="FFFFFF"/>
          <w:sz w:val="16"/>
          <w:szCs w:val="16"/>
        </w:rPr>
      </w:pPr>
    </w:p>
    <w:p w14:paraId="6F52FBC8" w14:textId="77777777" w:rsidR="005A4528" w:rsidRPr="00617E4A" w:rsidRDefault="005A4528" w:rsidP="008818BB">
      <w:pPr>
        <w:pStyle w:val="NoSpacing"/>
        <w:rPr>
          <w:color w:val="FFFFFF"/>
          <w:sz w:val="16"/>
          <w:szCs w:val="16"/>
        </w:rPr>
      </w:pPr>
    </w:p>
    <w:p w14:paraId="5D921640" w14:textId="77777777" w:rsidR="00F835F4" w:rsidRDefault="00F835F4" w:rsidP="008818BB">
      <w:pPr>
        <w:pStyle w:val="NoSpacing"/>
        <w:rPr>
          <w:color w:val="FFFFFF"/>
          <w:sz w:val="16"/>
          <w:szCs w:val="16"/>
        </w:rPr>
      </w:pPr>
    </w:p>
    <w:p w14:paraId="486C72FC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0384104E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7C72433E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468AA998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509900AA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18BB486F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63D69986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3ACC834B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52D5B760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6BE8C3A0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5BA5C497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0173AB40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4D7D7A49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61C919A9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7AEA5736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0B20A543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7E70AB84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4370DF4A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5C32E8EE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281EE481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4430EDDF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24226904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57239299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0ABBD0C0" w14:textId="77777777" w:rsidR="005374DF" w:rsidRDefault="005374DF" w:rsidP="008818BB">
      <w:pPr>
        <w:pStyle w:val="NoSpacing"/>
        <w:rPr>
          <w:color w:val="FFFFFF"/>
          <w:sz w:val="16"/>
          <w:szCs w:val="16"/>
        </w:rPr>
      </w:pPr>
    </w:p>
    <w:p w14:paraId="62440F12" w14:textId="77777777" w:rsidR="00095292" w:rsidRDefault="00095292" w:rsidP="008818BB">
      <w:pPr>
        <w:pStyle w:val="NoSpacing"/>
        <w:rPr>
          <w:color w:val="FFFFFF"/>
          <w:sz w:val="16"/>
          <w:szCs w:val="16"/>
        </w:rPr>
      </w:pPr>
    </w:p>
    <w:p w14:paraId="6802FDA7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55C9E0E2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3CC5298D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72D7CBD4" w14:textId="77777777" w:rsidR="006E7424" w:rsidRDefault="006E7424" w:rsidP="008818BB">
      <w:pPr>
        <w:pStyle w:val="NoSpacing"/>
        <w:rPr>
          <w:color w:val="FFFFFF"/>
          <w:sz w:val="16"/>
          <w:szCs w:val="16"/>
        </w:rPr>
      </w:pPr>
    </w:p>
    <w:p w14:paraId="5BB37A67" w14:textId="77777777" w:rsidR="00977045" w:rsidRDefault="00977045" w:rsidP="00977045">
      <w:pPr>
        <w:pStyle w:val="NoSpacing"/>
        <w:tabs>
          <w:tab w:val="left" w:pos="1333"/>
        </w:tabs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ab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977045" w14:paraId="64C155B3" w14:textId="77777777" w:rsidTr="00BF57FD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6B9AF6" w14:textId="77777777" w:rsidR="00977045" w:rsidRDefault="00977045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2B66543E" wp14:editId="0FBA92DC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852B" w14:textId="77777777" w:rsidR="00977045" w:rsidRDefault="00977045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4A158622" w14:textId="77777777" w:rsidR="00977045" w:rsidRDefault="00977045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safety and licensing sectors.</w:t>
            </w:r>
          </w:p>
          <w:p w14:paraId="36C79314" w14:textId="77777777" w:rsidR="00977045" w:rsidRDefault="00977045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2162401B" w14:textId="77777777" w:rsidR="00977045" w:rsidRDefault="00977045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and also deals with some types of property tax appeals under the Municipal Act and City of Toronto Act. For more information contact us at:</w:t>
            </w:r>
          </w:p>
          <w:p w14:paraId="51421D7B" w14:textId="77777777" w:rsidR="00977045" w:rsidRDefault="00977045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7071D112" w14:textId="77777777" w:rsidR="00977045" w:rsidRDefault="00977045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596E9420" w14:textId="77777777" w:rsidR="00977045" w:rsidRDefault="00977045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023581BF" w14:textId="12B64032" w:rsidR="00977045" w:rsidRDefault="004061F0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Ontario, M7A 2G6</w:t>
            </w:r>
          </w:p>
          <w:p w14:paraId="14883AE3" w14:textId="5D727427" w:rsidR="00977045" w:rsidRDefault="00977045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4" w:history="1">
              <w:r w:rsidR="0098443C" w:rsidRPr="0098443C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4947DBA0" w14:textId="77777777" w:rsidR="00977045" w:rsidRDefault="00977045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6801A64A" w14:textId="77777777" w:rsidR="00F835F4" w:rsidRPr="00617E4A" w:rsidRDefault="00F835F4" w:rsidP="008818BB">
      <w:pPr>
        <w:pStyle w:val="NoSpacing"/>
        <w:rPr>
          <w:color w:val="FFFFFF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6E7424" w14:paraId="153FB53C" w14:textId="77777777" w:rsidTr="006E7424">
        <w:trPr>
          <w:trHeight w:val="352"/>
        </w:trPr>
        <w:tc>
          <w:tcPr>
            <w:tcW w:w="5508" w:type="dxa"/>
            <w:hideMark/>
          </w:tcPr>
          <w:p w14:paraId="2255652A" w14:textId="77777777" w:rsidR="006E7424" w:rsidRDefault="006E7424">
            <w:pPr>
              <w:pStyle w:val="NoSpacing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D60B26">
              <w:rPr>
                <w:rFonts w:ascii="Arial" w:hAnsi="Arial" w:cs="Arial"/>
                <w:sz w:val="16"/>
              </w:rPr>
              <w:t>ISBN 978-1-4435-8452-4 © Queen’s printer for Ontario, 2017</w:t>
            </w:r>
          </w:p>
        </w:tc>
        <w:tc>
          <w:tcPr>
            <w:tcW w:w="5508" w:type="dxa"/>
            <w:hideMark/>
          </w:tcPr>
          <w:p w14:paraId="4116AE89" w14:textId="77777777" w:rsidR="006E7424" w:rsidRDefault="006E7424" w:rsidP="006E74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lang w:val="fr-CA"/>
              </w:rPr>
            </w:pPr>
            <w:r w:rsidRPr="000F0BB9">
              <w:rPr>
                <w:rFonts w:ascii="Arial" w:hAnsi="Arial" w:cs="Arial"/>
                <w:sz w:val="16"/>
                <w:lang w:val="fr-CA"/>
              </w:rPr>
              <w:t xml:space="preserve">Disponible en français: Voici que vous devez savoir au </w:t>
            </w:r>
          </w:p>
          <w:p w14:paraId="1E32930A" w14:textId="77777777" w:rsidR="006E7424" w:rsidRDefault="006E7424" w:rsidP="006E7424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0F0BB9">
              <w:rPr>
                <w:rFonts w:ascii="Arial" w:hAnsi="Arial" w:cs="Arial"/>
                <w:sz w:val="16"/>
                <w:lang w:val="fr-CA"/>
              </w:rPr>
              <w:t>sujet des affidavits</w:t>
            </w:r>
          </w:p>
        </w:tc>
      </w:tr>
    </w:tbl>
    <w:p w14:paraId="48188707" w14:textId="77777777" w:rsidR="00F835F4" w:rsidRPr="00D60B26" w:rsidRDefault="00F835F4" w:rsidP="002D40C6">
      <w:pPr>
        <w:autoSpaceDE w:val="0"/>
        <w:autoSpaceDN w:val="0"/>
        <w:adjustRightInd w:val="0"/>
        <w:jc w:val="both"/>
        <w:rPr>
          <w:color w:val="FFFFFF"/>
          <w:sz w:val="16"/>
          <w:szCs w:val="16"/>
          <w:lang w:val="fr-CA"/>
        </w:rPr>
      </w:pPr>
    </w:p>
    <w:sectPr w:rsidR="00F835F4" w:rsidRPr="00D60B26" w:rsidSect="00E015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D31B" w14:textId="77777777" w:rsidR="008F074E" w:rsidRDefault="008F074E">
      <w:r>
        <w:separator/>
      </w:r>
    </w:p>
  </w:endnote>
  <w:endnote w:type="continuationSeparator" w:id="0">
    <w:p w14:paraId="33916584" w14:textId="77777777" w:rsidR="008F074E" w:rsidRDefault="008F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0B50" w14:textId="77777777" w:rsidR="00977045" w:rsidRDefault="00977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7043" w14:textId="77777777" w:rsidR="004E4786" w:rsidRPr="006402E3" w:rsidRDefault="00D81076" w:rsidP="006402E3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AR</w:t>
    </w:r>
    <w:r w:rsidR="00E015A7" w:rsidRPr="006402E3">
      <w:rPr>
        <w:rFonts w:ascii="Arial" w:hAnsi="Arial" w:cs="Arial"/>
        <w:sz w:val="20"/>
        <w:szCs w:val="20"/>
      </w:rPr>
      <w:t xml:space="preserve">B </w:t>
    </w:r>
    <w:r w:rsidR="00617E4A">
      <w:rPr>
        <w:rFonts w:ascii="Arial" w:hAnsi="Arial" w:cs="Arial"/>
        <w:sz w:val="20"/>
        <w:szCs w:val="20"/>
      </w:rPr>
      <w:t>Information Sheet</w:t>
    </w:r>
    <w:r w:rsidR="004E4786" w:rsidRPr="006402E3">
      <w:rPr>
        <w:rFonts w:ascii="Arial" w:hAnsi="Arial" w:cs="Arial"/>
        <w:sz w:val="20"/>
        <w:szCs w:val="20"/>
      </w:rPr>
      <w:tab/>
    </w:r>
    <w:r w:rsidR="00E015A7" w:rsidRPr="006402E3">
      <w:rPr>
        <w:rStyle w:val="PageNumber"/>
        <w:rFonts w:ascii="Arial" w:hAnsi="Arial" w:cs="Arial"/>
        <w:sz w:val="20"/>
        <w:szCs w:val="20"/>
      </w:rPr>
      <w:t xml:space="preserve">Page </w: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640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separate"/>
    </w:r>
    <w:r w:rsidR="00896C14">
      <w:rPr>
        <w:rStyle w:val="PageNumber"/>
        <w:rFonts w:ascii="Arial" w:hAnsi="Arial" w:cs="Arial"/>
        <w:noProof/>
        <w:sz w:val="20"/>
        <w:szCs w:val="20"/>
      </w:rPr>
      <w:t>1</w: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end"/>
    </w:r>
    <w:r w:rsidR="00E015A7" w:rsidRPr="006402E3">
      <w:rPr>
        <w:rStyle w:val="PageNumber"/>
        <w:rFonts w:ascii="Arial" w:hAnsi="Arial" w:cs="Arial"/>
        <w:sz w:val="20"/>
        <w:szCs w:val="20"/>
      </w:rPr>
      <w:t xml:space="preserve"> of </w: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6402E3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separate"/>
    </w:r>
    <w:r w:rsidR="00896C14">
      <w:rPr>
        <w:rStyle w:val="PageNumber"/>
        <w:rFonts w:ascii="Arial" w:hAnsi="Arial" w:cs="Arial"/>
        <w:noProof/>
        <w:sz w:val="20"/>
        <w:szCs w:val="20"/>
      </w:rPr>
      <w:t>2</w:t>
    </w:r>
    <w:r w:rsidR="00E015A7" w:rsidRPr="006402E3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F68B" w14:textId="77777777" w:rsidR="00977045" w:rsidRDefault="00977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4338" w14:textId="77777777" w:rsidR="008F074E" w:rsidRDefault="008F074E">
      <w:r>
        <w:separator/>
      </w:r>
    </w:p>
  </w:footnote>
  <w:footnote w:type="continuationSeparator" w:id="0">
    <w:p w14:paraId="625F1CF4" w14:textId="77777777" w:rsidR="008F074E" w:rsidRDefault="008F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A5F0" w14:textId="77777777" w:rsidR="00977045" w:rsidRDefault="00977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4187" w14:textId="77777777" w:rsidR="00977045" w:rsidRDefault="00977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33CD" w14:textId="77777777" w:rsidR="00977045" w:rsidRDefault="00977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89619B"/>
    <w:multiLevelType w:val="hybridMultilevel"/>
    <w:tmpl w:val="93BC1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F2C86"/>
    <w:multiLevelType w:val="hybridMultilevel"/>
    <w:tmpl w:val="AF107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12F2"/>
    <w:multiLevelType w:val="hybridMultilevel"/>
    <w:tmpl w:val="E80E1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2580"/>
    <w:multiLevelType w:val="hybridMultilevel"/>
    <w:tmpl w:val="A03242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6CD7"/>
    <w:multiLevelType w:val="hybridMultilevel"/>
    <w:tmpl w:val="8C426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74B3D"/>
    <w:rsid w:val="00091171"/>
    <w:rsid w:val="00095292"/>
    <w:rsid w:val="000A7715"/>
    <w:rsid w:val="000F0BB9"/>
    <w:rsid w:val="00123388"/>
    <w:rsid w:val="00135EBF"/>
    <w:rsid w:val="001361A9"/>
    <w:rsid w:val="001511FD"/>
    <w:rsid w:val="001657A5"/>
    <w:rsid w:val="00170603"/>
    <w:rsid w:val="00171C28"/>
    <w:rsid w:val="0019539A"/>
    <w:rsid w:val="001A143B"/>
    <w:rsid w:val="001B45D0"/>
    <w:rsid w:val="001C4C75"/>
    <w:rsid w:val="001E045A"/>
    <w:rsid w:val="001E136F"/>
    <w:rsid w:val="001E3DD7"/>
    <w:rsid w:val="00200E07"/>
    <w:rsid w:val="00226016"/>
    <w:rsid w:val="002410BD"/>
    <w:rsid w:val="00261A98"/>
    <w:rsid w:val="00290C85"/>
    <w:rsid w:val="002B2520"/>
    <w:rsid w:val="002D40C6"/>
    <w:rsid w:val="00332D42"/>
    <w:rsid w:val="00353CAF"/>
    <w:rsid w:val="00362002"/>
    <w:rsid w:val="003909B1"/>
    <w:rsid w:val="00394DB0"/>
    <w:rsid w:val="003B24CC"/>
    <w:rsid w:val="003D157A"/>
    <w:rsid w:val="00402AFC"/>
    <w:rsid w:val="004061F0"/>
    <w:rsid w:val="0042472D"/>
    <w:rsid w:val="00426064"/>
    <w:rsid w:val="00426CC6"/>
    <w:rsid w:val="004641AE"/>
    <w:rsid w:val="00467D4E"/>
    <w:rsid w:val="00493D5F"/>
    <w:rsid w:val="00495216"/>
    <w:rsid w:val="00497939"/>
    <w:rsid w:val="004A0B55"/>
    <w:rsid w:val="004C32A7"/>
    <w:rsid w:val="004C7AEA"/>
    <w:rsid w:val="004D0068"/>
    <w:rsid w:val="004D3FD0"/>
    <w:rsid w:val="004E4786"/>
    <w:rsid w:val="004F1D53"/>
    <w:rsid w:val="004F4225"/>
    <w:rsid w:val="00507DC4"/>
    <w:rsid w:val="00517E4D"/>
    <w:rsid w:val="00532016"/>
    <w:rsid w:val="005357F3"/>
    <w:rsid w:val="005374DF"/>
    <w:rsid w:val="00553CCB"/>
    <w:rsid w:val="005657CD"/>
    <w:rsid w:val="00574151"/>
    <w:rsid w:val="00595604"/>
    <w:rsid w:val="00597BE3"/>
    <w:rsid w:val="005A24C7"/>
    <w:rsid w:val="005A2AAE"/>
    <w:rsid w:val="005A4528"/>
    <w:rsid w:val="005A5EA0"/>
    <w:rsid w:val="005A6B6A"/>
    <w:rsid w:val="005B0D0D"/>
    <w:rsid w:val="005B755D"/>
    <w:rsid w:val="005B7822"/>
    <w:rsid w:val="005C3CD6"/>
    <w:rsid w:val="005E3A56"/>
    <w:rsid w:val="005F58F4"/>
    <w:rsid w:val="005F5CBA"/>
    <w:rsid w:val="00606656"/>
    <w:rsid w:val="006072D2"/>
    <w:rsid w:val="0061238E"/>
    <w:rsid w:val="00617E4A"/>
    <w:rsid w:val="006229E9"/>
    <w:rsid w:val="006402E3"/>
    <w:rsid w:val="00642696"/>
    <w:rsid w:val="00643A0D"/>
    <w:rsid w:val="00693DB8"/>
    <w:rsid w:val="006B389D"/>
    <w:rsid w:val="006B7E7C"/>
    <w:rsid w:val="006D4366"/>
    <w:rsid w:val="006E6373"/>
    <w:rsid w:val="006E6C8C"/>
    <w:rsid w:val="006E7424"/>
    <w:rsid w:val="006F40A6"/>
    <w:rsid w:val="00700FCD"/>
    <w:rsid w:val="00713BF4"/>
    <w:rsid w:val="007243B8"/>
    <w:rsid w:val="00724430"/>
    <w:rsid w:val="0073750D"/>
    <w:rsid w:val="00761529"/>
    <w:rsid w:val="00785763"/>
    <w:rsid w:val="0079279C"/>
    <w:rsid w:val="00794F8A"/>
    <w:rsid w:val="00796D35"/>
    <w:rsid w:val="007B4E51"/>
    <w:rsid w:val="007C1E2E"/>
    <w:rsid w:val="007C320A"/>
    <w:rsid w:val="007E2245"/>
    <w:rsid w:val="00802CE6"/>
    <w:rsid w:val="00817402"/>
    <w:rsid w:val="00817997"/>
    <w:rsid w:val="0085355D"/>
    <w:rsid w:val="0085733A"/>
    <w:rsid w:val="008818BB"/>
    <w:rsid w:val="00896299"/>
    <w:rsid w:val="00896C14"/>
    <w:rsid w:val="008A1647"/>
    <w:rsid w:val="008A420C"/>
    <w:rsid w:val="008A5B98"/>
    <w:rsid w:val="008B3559"/>
    <w:rsid w:val="008F074E"/>
    <w:rsid w:val="00917615"/>
    <w:rsid w:val="00921C62"/>
    <w:rsid w:val="00937F66"/>
    <w:rsid w:val="009641FE"/>
    <w:rsid w:val="00977045"/>
    <w:rsid w:val="0098443C"/>
    <w:rsid w:val="009A424C"/>
    <w:rsid w:val="009B580E"/>
    <w:rsid w:val="009D0EC6"/>
    <w:rsid w:val="00A01768"/>
    <w:rsid w:val="00A02261"/>
    <w:rsid w:val="00A04D2D"/>
    <w:rsid w:val="00A15631"/>
    <w:rsid w:val="00A163FB"/>
    <w:rsid w:val="00A22A3E"/>
    <w:rsid w:val="00A64D46"/>
    <w:rsid w:val="00A650B5"/>
    <w:rsid w:val="00A92B52"/>
    <w:rsid w:val="00A95285"/>
    <w:rsid w:val="00A979FA"/>
    <w:rsid w:val="00AB220A"/>
    <w:rsid w:val="00AC2EA8"/>
    <w:rsid w:val="00AC3361"/>
    <w:rsid w:val="00AD5B98"/>
    <w:rsid w:val="00AF7067"/>
    <w:rsid w:val="00B0398F"/>
    <w:rsid w:val="00B04D3C"/>
    <w:rsid w:val="00B4300C"/>
    <w:rsid w:val="00B53BCF"/>
    <w:rsid w:val="00B632FC"/>
    <w:rsid w:val="00B81911"/>
    <w:rsid w:val="00B92CC8"/>
    <w:rsid w:val="00BA509D"/>
    <w:rsid w:val="00BC0D7B"/>
    <w:rsid w:val="00BC4243"/>
    <w:rsid w:val="00BC680D"/>
    <w:rsid w:val="00C019C8"/>
    <w:rsid w:val="00C02EB7"/>
    <w:rsid w:val="00C063AE"/>
    <w:rsid w:val="00C1362D"/>
    <w:rsid w:val="00C24069"/>
    <w:rsid w:val="00C36EB7"/>
    <w:rsid w:val="00C53B2E"/>
    <w:rsid w:val="00C96D1A"/>
    <w:rsid w:val="00CB49EA"/>
    <w:rsid w:val="00CC3516"/>
    <w:rsid w:val="00CC5C00"/>
    <w:rsid w:val="00CD5E95"/>
    <w:rsid w:val="00CE38F2"/>
    <w:rsid w:val="00CF426D"/>
    <w:rsid w:val="00CF6ADB"/>
    <w:rsid w:val="00D42CEA"/>
    <w:rsid w:val="00D51129"/>
    <w:rsid w:val="00D51FCE"/>
    <w:rsid w:val="00D527F7"/>
    <w:rsid w:val="00D5311E"/>
    <w:rsid w:val="00D60B26"/>
    <w:rsid w:val="00D610A6"/>
    <w:rsid w:val="00D6148D"/>
    <w:rsid w:val="00D721DE"/>
    <w:rsid w:val="00D81076"/>
    <w:rsid w:val="00D9037B"/>
    <w:rsid w:val="00DC1B88"/>
    <w:rsid w:val="00DD12A3"/>
    <w:rsid w:val="00DE2A05"/>
    <w:rsid w:val="00DF45CF"/>
    <w:rsid w:val="00E015A7"/>
    <w:rsid w:val="00E03B4C"/>
    <w:rsid w:val="00E0552B"/>
    <w:rsid w:val="00E05C60"/>
    <w:rsid w:val="00E432ED"/>
    <w:rsid w:val="00E46E1D"/>
    <w:rsid w:val="00E5416C"/>
    <w:rsid w:val="00E61231"/>
    <w:rsid w:val="00E77873"/>
    <w:rsid w:val="00EA1B62"/>
    <w:rsid w:val="00EC2C46"/>
    <w:rsid w:val="00EC3C89"/>
    <w:rsid w:val="00EC5185"/>
    <w:rsid w:val="00ED045A"/>
    <w:rsid w:val="00EE12D0"/>
    <w:rsid w:val="00EF5398"/>
    <w:rsid w:val="00F77637"/>
    <w:rsid w:val="00F835F4"/>
    <w:rsid w:val="00FA6370"/>
    <w:rsid w:val="00F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328F681D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3DD7"/>
    <w:pPr>
      <w:jc w:val="both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Title">
    <w:name w:val="Title"/>
    <w:basedOn w:val="Normal"/>
    <w:next w:val="Normal"/>
    <w:link w:val="TitleChar"/>
    <w:qFormat/>
    <w:rsid w:val="001E3DD7"/>
    <w:rPr>
      <w:rFonts w:ascii="Arial" w:hAnsi="Arial" w:cs="Arial"/>
      <w:b/>
      <w:bCs/>
      <w:sz w:val="28"/>
    </w:rPr>
  </w:style>
  <w:style w:type="character" w:customStyle="1" w:styleId="TitleChar">
    <w:name w:val="Title Char"/>
    <w:link w:val="Title"/>
    <w:rsid w:val="001E3DD7"/>
    <w:rPr>
      <w:rFonts w:ascii="Arial" w:hAnsi="Arial" w:cs="Arial"/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1E3DD7"/>
    <w:rPr>
      <w:rFonts w:ascii="Arial" w:hAnsi="Arial" w:cs="Arial"/>
      <w:b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2D40C6"/>
    <w:pPr>
      <w:spacing w:before="240" w:after="240"/>
      <w:jc w:val="both"/>
    </w:pPr>
    <w:rPr>
      <w:rFonts w:ascii="Arial" w:hAnsi="Arial" w:cs="Arial"/>
    </w:rPr>
  </w:style>
  <w:style w:type="character" w:styleId="CommentReference">
    <w:name w:val="annotation reference"/>
    <w:rsid w:val="005F5CBA"/>
    <w:rPr>
      <w:sz w:val="16"/>
      <w:szCs w:val="16"/>
    </w:rPr>
  </w:style>
  <w:style w:type="character" w:customStyle="1" w:styleId="Style1Char">
    <w:name w:val="Style1 Char"/>
    <w:link w:val="Style1"/>
    <w:rsid w:val="002D40C6"/>
    <w:rPr>
      <w:rFonts w:ascii="Arial" w:hAnsi="Arial" w:cs="Arial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5F5CBA"/>
    <w:rPr>
      <w:sz w:val="20"/>
      <w:szCs w:val="20"/>
    </w:rPr>
  </w:style>
  <w:style w:type="character" w:customStyle="1" w:styleId="CommentTextChar">
    <w:name w:val="Comment Text Char"/>
    <w:link w:val="CommentText"/>
    <w:rsid w:val="005F5C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CBA"/>
    <w:rPr>
      <w:b/>
      <w:bCs/>
    </w:rPr>
  </w:style>
  <w:style w:type="character" w:customStyle="1" w:styleId="CommentSubjectChar">
    <w:name w:val="Comment Subject Char"/>
    <w:link w:val="CommentSubject"/>
    <w:rsid w:val="005F5CBA"/>
    <w:rPr>
      <w:b/>
      <w:bCs/>
      <w:lang w:eastAsia="en-US"/>
    </w:rPr>
  </w:style>
  <w:style w:type="paragraph" w:styleId="NoSpacing">
    <w:name w:val="No Spacing"/>
    <w:uiPriority w:val="1"/>
    <w:qFormat/>
    <w:rsid w:val="008818B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243B8"/>
    <w:pPr>
      <w:ind w:left="720"/>
    </w:pPr>
  </w:style>
  <w:style w:type="table" w:styleId="TableGrid">
    <w:name w:val="Table Grid"/>
    <w:basedOn w:val="TableNormal"/>
    <w:rsid w:val="00D6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022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bunalsontario.ca/arb/forms/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rb.registrar@ontario.c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ibunalsontario.ca/arb/legislation-and-rul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rb.registrar@ontario.c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tribunalsontario.ca/arb" TargetMode="External"/><Relationship Id="rId14" Type="http://schemas.openxmlformats.org/officeDocument/2006/relationships/hyperlink" Target="http://tribunalsontario.ca/ar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3274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http://elto.gov.on.ca/wp-content/uploads/2015/02/ARB-InfoSheet12-WillISaveMoneyIfIAppeal.pdf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14</cp:revision>
  <cp:lastPrinted>2021-10-07T16:33:00Z</cp:lastPrinted>
  <dcterms:created xsi:type="dcterms:W3CDTF">2020-06-19T18:49:00Z</dcterms:created>
  <dcterms:modified xsi:type="dcterms:W3CDTF">2023-06-08T12:34:00Z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2021-10-05T15:42:25Z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0e72802a-4714-4a81-81ad-57bf51e93444</vt:lpwstr>
  </property>
  <property fmtid="{D5CDD505-2E9C-101B-9397-08002B2CF9AE}" pid="8" name="MSIP_Label_034a106e-6316-442c-ad35-738afd673d2b_ContentBits">
    <vt:lpwstr>0</vt:lpwstr>
  </property>
</Properties>
</file>