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E53" w:rsidRPr="0070348C" w:rsidRDefault="0070348C" w:rsidP="00FB6E53">
      <w:pPr>
        <w:spacing w:after="0" w:line="240" w:lineRule="auto"/>
        <w:jc w:val="center"/>
        <w:rPr>
          <w:rFonts w:ascii="Arial" w:hAnsi="Arial" w:cs="Arial"/>
          <w:b/>
          <w:sz w:val="32"/>
          <w:szCs w:val="28"/>
        </w:rPr>
      </w:pPr>
      <w:bookmarkStart w:id="0" w:name="_GoBack"/>
      <w:bookmarkEnd w:id="0"/>
      <w:r w:rsidRPr="0070348C">
        <w:rPr>
          <w:rFonts w:ascii="Arial" w:hAnsi="Arial" w:cs="Arial"/>
          <w:b/>
          <w:sz w:val="32"/>
          <w:szCs w:val="28"/>
        </w:rPr>
        <w:t>Tribunals Ontario</w:t>
      </w:r>
    </w:p>
    <w:p w:rsidR="0070348C" w:rsidRDefault="0070348C" w:rsidP="00FB6E53">
      <w:pPr>
        <w:spacing w:after="0" w:line="240" w:lineRule="auto"/>
        <w:jc w:val="center"/>
        <w:rPr>
          <w:rFonts w:ascii="Arial" w:hAnsi="Arial" w:cs="Arial"/>
          <w:b/>
          <w:sz w:val="28"/>
          <w:szCs w:val="28"/>
        </w:rPr>
      </w:pPr>
      <w:r>
        <w:rPr>
          <w:rFonts w:ascii="Arial" w:hAnsi="Arial" w:cs="Arial"/>
          <w:b/>
          <w:sz w:val="28"/>
          <w:szCs w:val="28"/>
        </w:rPr>
        <w:t>Assessment Review Board</w:t>
      </w:r>
    </w:p>
    <w:p w:rsidR="0070348C" w:rsidRPr="00FB6E53" w:rsidRDefault="0070348C" w:rsidP="00FB6E53">
      <w:pPr>
        <w:spacing w:after="0" w:line="240" w:lineRule="auto"/>
        <w:jc w:val="center"/>
        <w:rPr>
          <w:rFonts w:ascii="Arial" w:hAnsi="Arial" w:cs="Arial"/>
          <w:b/>
          <w:sz w:val="28"/>
          <w:szCs w:val="28"/>
        </w:rPr>
      </w:pPr>
    </w:p>
    <w:p w:rsidR="00AC3409" w:rsidRDefault="00D8085F" w:rsidP="00FB6E53">
      <w:pPr>
        <w:spacing w:after="0" w:line="240" w:lineRule="auto"/>
        <w:jc w:val="center"/>
        <w:rPr>
          <w:rFonts w:ascii="Arial" w:hAnsi="Arial" w:cs="Arial"/>
          <w:b/>
          <w:sz w:val="24"/>
          <w:szCs w:val="24"/>
        </w:rPr>
      </w:pPr>
      <w:r w:rsidRPr="00D8085F">
        <w:rPr>
          <w:rFonts w:ascii="Arial" w:hAnsi="Arial" w:cs="Arial"/>
          <w:b/>
          <w:sz w:val="24"/>
          <w:szCs w:val="24"/>
        </w:rPr>
        <w:t>Frequently Asked Questions</w:t>
      </w:r>
      <w:r w:rsidR="008A4ECE">
        <w:rPr>
          <w:rFonts w:ascii="Arial" w:hAnsi="Arial" w:cs="Arial"/>
          <w:b/>
          <w:sz w:val="24"/>
          <w:szCs w:val="24"/>
        </w:rPr>
        <w:t xml:space="preserve"> About ARB Changes </w:t>
      </w:r>
    </w:p>
    <w:p w:rsidR="0070348C" w:rsidRDefault="0070348C" w:rsidP="00FB6E53">
      <w:pPr>
        <w:spacing w:after="0" w:line="240" w:lineRule="auto"/>
        <w:jc w:val="center"/>
        <w:rPr>
          <w:rFonts w:ascii="Arial" w:hAnsi="Arial" w:cs="Arial"/>
          <w:b/>
          <w:sz w:val="24"/>
          <w:szCs w:val="24"/>
        </w:rPr>
      </w:pPr>
      <w:r>
        <w:rPr>
          <w:rFonts w:ascii="Arial" w:hAnsi="Arial" w:cs="Arial"/>
          <w:b/>
          <w:sz w:val="24"/>
          <w:szCs w:val="24"/>
        </w:rPr>
        <w:t>July 2019</w:t>
      </w:r>
    </w:p>
    <w:p w:rsidR="00FB6E53" w:rsidRDefault="00FB6E53" w:rsidP="00FB6E53">
      <w:pPr>
        <w:spacing w:after="0" w:line="240" w:lineRule="auto"/>
        <w:rPr>
          <w:rFonts w:ascii="Arial" w:hAnsi="Arial" w:cs="Arial"/>
          <w:sz w:val="24"/>
          <w:szCs w:val="24"/>
        </w:rPr>
      </w:pPr>
    </w:p>
    <w:p w:rsidR="00817F0E" w:rsidRDefault="00817F0E" w:rsidP="00FB6E53">
      <w:pPr>
        <w:spacing w:after="0" w:line="240" w:lineRule="auto"/>
        <w:rPr>
          <w:rFonts w:ascii="Arial" w:hAnsi="Arial" w:cs="Arial"/>
          <w:sz w:val="24"/>
          <w:szCs w:val="24"/>
        </w:rPr>
      </w:pPr>
    </w:p>
    <w:p w:rsidR="00C72D13" w:rsidRDefault="005C658E" w:rsidP="00A44748">
      <w:pPr>
        <w:spacing w:after="0" w:line="240" w:lineRule="auto"/>
        <w:rPr>
          <w:rFonts w:ascii="Arial" w:hAnsi="Arial" w:cs="Arial"/>
          <w:sz w:val="24"/>
          <w:szCs w:val="24"/>
        </w:rPr>
      </w:pPr>
      <w:r>
        <w:rPr>
          <w:rFonts w:ascii="Arial" w:hAnsi="Arial" w:cs="Arial"/>
          <w:sz w:val="24"/>
          <w:szCs w:val="24"/>
        </w:rPr>
        <w:t xml:space="preserve">If you have </w:t>
      </w:r>
      <w:r w:rsidR="00B93A7B">
        <w:rPr>
          <w:rFonts w:ascii="Arial" w:hAnsi="Arial" w:cs="Arial"/>
          <w:sz w:val="24"/>
          <w:szCs w:val="24"/>
        </w:rPr>
        <w:t xml:space="preserve">other </w:t>
      </w:r>
      <w:r w:rsidR="00817F0E">
        <w:rPr>
          <w:rFonts w:ascii="Arial" w:hAnsi="Arial" w:cs="Arial"/>
          <w:sz w:val="24"/>
          <w:szCs w:val="24"/>
        </w:rPr>
        <w:t>questions</w:t>
      </w:r>
      <w:r>
        <w:rPr>
          <w:rFonts w:ascii="Arial" w:hAnsi="Arial" w:cs="Arial"/>
          <w:sz w:val="24"/>
          <w:szCs w:val="24"/>
        </w:rPr>
        <w:t xml:space="preserve"> or require clarification on any of the</w:t>
      </w:r>
      <w:r w:rsidR="008A4ECE">
        <w:rPr>
          <w:rFonts w:ascii="Arial" w:hAnsi="Arial" w:cs="Arial"/>
          <w:sz w:val="24"/>
          <w:szCs w:val="24"/>
        </w:rPr>
        <w:t>se</w:t>
      </w:r>
      <w:r>
        <w:rPr>
          <w:rFonts w:ascii="Arial" w:hAnsi="Arial" w:cs="Arial"/>
          <w:sz w:val="24"/>
          <w:szCs w:val="24"/>
        </w:rPr>
        <w:t xml:space="preserve"> FAQs</w:t>
      </w:r>
      <w:r w:rsidR="00817F0E">
        <w:rPr>
          <w:rFonts w:ascii="Arial" w:hAnsi="Arial" w:cs="Arial"/>
          <w:sz w:val="24"/>
          <w:szCs w:val="24"/>
        </w:rPr>
        <w:t xml:space="preserve">, please contact </w:t>
      </w:r>
      <w:r w:rsidR="008A4ECE" w:rsidRPr="00BE69A5">
        <w:rPr>
          <w:rFonts w:ascii="Arial" w:hAnsi="Arial" w:cs="Arial"/>
          <w:sz w:val="24"/>
        </w:rPr>
        <w:t xml:space="preserve">the </w:t>
      </w:r>
      <w:hyperlink r:id="rId8" w:history="1">
        <w:r w:rsidR="008A4ECE" w:rsidRPr="00175C93">
          <w:rPr>
            <w:rStyle w:val="Hyperlink"/>
            <w:rFonts w:ascii="Arial" w:hAnsi="Arial" w:cs="Arial"/>
            <w:sz w:val="24"/>
            <w:szCs w:val="24"/>
          </w:rPr>
          <w:t>ARB Registrar</w:t>
        </w:r>
      </w:hyperlink>
      <w:r w:rsidR="008A4ECE" w:rsidRPr="00A44748">
        <w:t>.</w:t>
      </w:r>
    </w:p>
    <w:p w:rsidR="00A44748" w:rsidRPr="00BE69A5" w:rsidRDefault="00A44748" w:rsidP="00A44748">
      <w:pPr>
        <w:spacing w:after="0" w:line="240" w:lineRule="auto"/>
        <w:rPr>
          <w:rFonts w:ascii="Arial" w:hAnsi="Arial" w:cs="Arial"/>
          <w:sz w:val="28"/>
          <w:szCs w:val="24"/>
        </w:rPr>
      </w:pPr>
    </w:p>
    <w:p w:rsidR="0081036F" w:rsidRPr="0081036F" w:rsidRDefault="0081036F" w:rsidP="0081036F">
      <w:pPr>
        <w:ind w:left="720"/>
        <w:rPr>
          <w:rFonts w:ascii="Arial" w:hAnsi="Arial" w:cs="Arial"/>
          <w:sz w:val="24"/>
        </w:rPr>
      </w:pPr>
      <w:r w:rsidRPr="0081036F">
        <w:rPr>
          <w:rFonts w:ascii="Arial" w:hAnsi="Arial" w:cs="Arial"/>
          <w:sz w:val="24"/>
        </w:rPr>
        <w:t>What changes are being proposed?</w:t>
      </w:r>
    </w:p>
    <w:p w:rsidR="00C72D13" w:rsidRPr="0081036F" w:rsidRDefault="00C72D13" w:rsidP="0081036F">
      <w:pPr>
        <w:ind w:left="1440"/>
        <w:rPr>
          <w:rFonts w:ascii="Arial" w:hAnsi="Arial" w:cs="Arial"/>
          <w:sz w:val="24"/>
        </w:rPr>
      </w:pPr>
      <w:r w:rsidRPr="0081036F">
        <w:rPr>
          <w:rFonts w:ascii="Arial" w:hAnsi="Arial" w:cs="Arial"/>
          <w:sz w:val="24"/>
        </w:rPr>
        <w:t>There are three main changes being proposed:</w:t>
      </w:r>
    </w:p>
    <w:p w:rsidR="00C72D13" w:rsidRPr="00BE69A5" w:rsidRDefault="00C72D13" w:rsidP="0081036F">
      <w:pPr>
        <w:pStyle w:val="ListParagraph"/>
        <w:numPr>
          <w:ilvl w:val="0"/>
          <w:numId w:val="9"/>
        </w:numPr>
        <w:ind w:left="1797" w:hanging="357"/>
        <w:rPr>
          <w:rFonts w:ascii="Arial" w:hAnsi="Arial" w:cs="Arial"/>
          <w:sz w:val="24"/>
        </w:rPr>
      </w:pPr>
      <w:r w:rsidRPr="00BE69A5">
        <w:rPr>
          <w:rFonts w:ascii="Arial" w:hAnsi="Arial" w:cs="Arial"/>
          <w:sz w:val="24"/>
        </w:rPr>
        <w:t xml:space="preserve">Shortening the </w:t>
      </w:r>
      <w:r w:rsidR="00310483" w:rsidRPr="00BE69A5">
        <w:rPr>
          <w:rFonts w:ascii="Arial" w:hAnsi="Arial" w:cs="Arial"/>
          <w:sz w:val="24"/>
        </w:rPr>
        <w:t>Schedule</w:t>
      </w:r>
      <w:r w:rsidRPr="00BE69A5">
        <w:rPr>
          <w:rFonts w:ascii="Arial" w:hAnsi="Arial" w:cs="Arial"/>
          <w:sz w:val="24"/>
        </w:rPr>
        <w:t xml:space="preserve"> of Events </w:t>
      </w:r>
      <w:r w:rsidR="00310483" w:rsidRPr="00BE69A5">
        <w:rPr>
          <w:rFonts w:ascii="Arial" w:hAnsi="Arial" w:cs="Arial"/>
          <w:sz w:val="24"/>
        </w:rPr>
        <w:t>of</w:t>
      </w:r>
      <w:r w:rsidRPr="00BE69A5">
        <w:rPr>
          <w:rFonts w:ascii="Arial" w:hAnsi="Arial" w:cs="Arial"/>
          <w:sz w:val="24"/>
        </w:rPr>
        <w:t xml:space="preserve"> General Proceedings to 40 weeks from its current 66 or 104 week length</w:t>
      </w:r>
      <w:r w:rsidR="00310483" w:rsidRPr="00BE69A5">
        <w:rPr>
          <w:rFonts w:ascii="Arial" w:hAnsi="Arial" w:cs="Arial"/>
          <w:sz w:val="24"/>
        </w:rPr>
        <w:t>.</w:t>
      </w:r>
    </w:p>
    <w:p w:rsidR="00C72D13" w:rsidRPr="00BE69A5" w:rsidRDefault="00310483" w:rsidP="0081036F">
      <w:pPr>
        <w:pStyle w:val="ListParagraph"/>
        <w:numPr>
          <w:ilvl w:val="0"/>
          <w:numId w:val="9"/>
        </w:numPr>
        <w:ind w:left="1797" w:hanging="357"/>
        <w:rPr>
          <w:rFonts w:ascii="Arial" w:hAnsi="Arial" w:cs="Arial"/>
          <w:sz w:val="24"/>
        </w:rPr>
      </w:pPr>
      <w:r w:rsidRPr="00BE69A5">
        <w:rPr>
          <w:rFonts w:ascii="Arial" w:hAnsi="Arial" w:cs="Arial"/>
          <w:sz w:val="24"/>
        </w:rPr>
        <w:t>Changing</w:t>
      </w:r>
      <w:r w:rsidR="00C72D13" w:rsidRPr="00BE69A5">
        <w:rPr>
          <w:rFonts w:ascii="Arial" w:hAnsi="Arial" w:cs="Arial"/>
          <w:sz w:val="24"/>
        </w:rPr>
        <w:t xml:space="preserve"> the term “settlement conference” to “case conference” to align with other Tribunals.  </w:t>
      </w:r>
    </w:p>
    <w:p w:rsidR="00C72D13" w:rsidRPr="00BE69A5" w:rsidRDefault="00C72D13" w:rsidP="0081036F">
      <w:pPr>
        <w:pStyle w:val="ListParagraph"/>
        <w:numPr>
          <w:ilvl w:val="0"/>
          <w:numId w:val="9"/>
        </w:numPr>
        <w:ind w:left="1797" w:hanging="357"/>
        <w:rPr>
          <w:rFonts w:ascii="Arial" w:hAnsi="Arial" w:cs="Arial"/>
          <w:sz w:val="24"/>
        </w:rPr>
      </w:pPr>
      <w:r w:rsidRPr="00BE69A5">
        <w:rPr>
          <w:rFonts w:ascii="Arial" w:hAnsi="Arial" w:cs="Arial"/>
          <w:sz w:val="24"/>
        </w:rPr>
        <w:t>Removing all references to mediation from the Rules because case conferences are the only opportunity for mediation services before the Board.</w:t>
      </w:r>
    </w:p>
    <w:p w:rsidR="00D8085F" w:rsidRDefault="00D8085F" w:rsidP="00CD6EB0">
      <w:pPr>
        <w:ind w:left="720"/>
        <w:rPr>
          <w:rFonts w:ascii="Arial" w:hAnsi="Arial" w:cs="Arial"/>
          <w:sz w:val="24"/>
          <w:szCs w:val="24"/>
        </w:rPr>
      </w:pPr>
      <w:r w:rsidRPr="00D8085F">
        <w:rPr>
          <w:rFonts w:ascii="Arial" w:hAnsi="Arial" w:cs="Arial"/>
          <w:sz w:val="24"/>
          <w:szCs w:val="24"/>
        </w:rPr>
        <w:t xml:space="preserve">Why is </w:t>
      </w:r>
      <w:r w:rsidR="008A4ECE">
        <w:rPr>
          <w:rFonts w:ascii="Arial" w:hAnsi="Arial" w:cs="Arial"/>
          <w:sz w:val="24"/>
          <w:szCs w:val="24"/>
        </w:rPr>
        <w:t xml:space="preserve">Tribunals </w:t>
      </w:r>
      <w:r w:rsidR="00A44748">
        <w:rPr>
          <w:rFonts w:ascii="Arial" w:hAnsi="Arial" w:cs="Arial"/>
          <w:sz w:val="24"/>
          <w:szCs w:val="24"/>
        </w:rPr>
        <w:t>Ontario making these changes to</w:t>
      </w:r>
      <w:r w:rsidR="008A4ECE">
        <w:rPr>
          <w:rFonts w:ascii="Arial" w:hAnsi="Arial" w:cs="Arial"/>
          <w:sz w:val="24"/>
          <w:szCs w:val="24"/>
        </w:rPr>
        <w:t xml:space="preserve"> the</w:t>
      </w:r>
      <w:r w:rsidRPr="00D8085F">
        <w:rPr>
          <w:rFonts w:ascii="Arial" w:hAnsi="Arial" w:cs="Arial"/>
          <w:sz w:val="24"/>
          <w:szCs w:val="24"/>
        </w:rPr>
        <w:t xml:space="preserve"> ARB mid</w:t>
      </w:r>
      <w:r w:rsidR="00DF6F46">
        <w:rPr>
          <w:rFonts w:ascii="Arial" w:hAnsi="Arial" w:cs="Arial"/>
          <w:sz w:val="24"/>
          <w:szCs w:val="24"/>
        </w:rPr>
        <w:t>-</w:t>
      </w:r>
      <w:r w:rsidRPr="00D8085F">
        <w:rPr>
          <w:rFonts w:ascii="Arial" w:hAnsi="Arial" w:cs="Arial"/>
          <w:sz w:val="24"/>
          <w:szCs w:val="24"/>
        </w:rPr>
        <w:t>cy</w:t>
      </w:r>
      <w:r w:rsidR="002B3A13">
        <w:rPr>
          <w:rFonts w:ascii="Arial" w:hAnsi="Arial" w:cs="Arial"/>
          <w:sz w:val="24"/>
          <w:szCs w:val="24"/>
        </w:rPr>
        <w:t>c</w:t>
      </w:r>
      <w:r w:rsidRPr="00D8085F">
        <w:rPr>
          <w:rFonts w:ascii="Arial" w:hAnsi="Arial" w:cs="Arial"/>
          <w:sz w:val="24"/>
          <w:szCs w:val="24"/>
        </w:rPr>
        <w:t>le?</w:t>
      </w:r>
    </w:p>
    <w:p w:rsidR="00FB6E53" w:rsidRPr="002931E4" w:rsidRDefault="002B3A13" w:rsidP="002931E4">
      <w:pPr>
        <w:pStyle w:val="ListParagraph"/>
        <w:ind w:left="1440"/>
        <w:rPr>
          <w:rFonts w:ascii="Arial" w:hAnsi="Arial" w:cs="Arial"/>
          <w:sz w:val="24"/>
          <w:szCs w:val="24"/>
        </w:rPr>
      </w:pPr>
      <w:r w:rsidRPr="00FB6E53">
        <w:rPr>
          <w:rFonts w:ascii="Arial" w:hAnsi="Arial" w:cs="Arial"/>
          <w:sz w:val="24"/>
          <w:szCs w:val="24"/>
        </w:rPr>
        <w:t>Tribunals Ontario has a mandate</w:t>
      </w:r>
      <w:r w:rsidR="00D8085F" w:rsidRPr="00FB6E53">
        <w:rPr>
          <w:rFonts w:ascii="Arial" w:hAnsi="Arial" w:cs="Arial"/>
          <w:sz w:val="24"/>
          <w:szCs w:val="24"/>
        </w:rPr>
        <w:t xml:space="preserve"> to </w:t>
      </w:r>
      <w:r w:rsidR="00F03AE0" w:rsidRPr="00FB6E53">
        <w:rPr>
          <w:rFonts w:ascii="Arial" w:hAnsi="Arial" w:cs="Arial"/>
          <w:sz w:val="24"/>
          <w:szCs w:val="24"/>
        </w:rPr>
        <w:t>ensure</w:t>
      </w:r>
      <w:r w:rsidR="00D8085F" w:rsidRPr="00FB6E53">
        <w:rPr>
          <w:rFonts w:ascii="Arial" w:hAnsi="Arial" w:cs="Arial"/>
          <w:sz w:val="24"/>
          <w:szCs w:val="24"/>
        </w:rPr>
        <w:t xml:space="preserve"> that appeals are resolved in a timely and cost efficient manner.  The changes that </w:t>
      </w:r>
      <w:r w:rsidR="00F27515" w:rsidRPr="00FB6E53">
        <w:rPr>
          <w:rFonts w:ascii="Arial" w:hAnsi="Arial" w:cs="Arial"/>
          <w:sz w:val="24"/>
          <w:szCs w:val="24"/>
        </w:rPr>
        <w:t>Tribunals Ontario</w:t>
      </w:r>
      <w:r w:rsidR="00D8085F" w:rsidRPr="00FB6E53">
        <w:rPr>
          <w:rFonts w:ascii="Arial" w:hAnsi="Arial" w:cs="Arial"/>
          <w:sz w:val="24"/>
          <w:szCs w:val="24"/>
        </w:rPr>
        <w:t xml:space="preserve"> is </w:t>
      </w:r>
      <w:r w:rsidR="00234B2F">
        <w:rPr>
          <w:rFonts w:ascii="Arial" w:hAnsi="Arial" w:cs="Arial"/>
          <w:sz w:val="24"/>
          <w:szCs w:val="24"/>
        </w:rPr>
        <w:t>proposing</w:t>
      </w:r>
      <w:r w:rsidR="00234B2F" w:rsidRPr="00FB6E53">
        <w:rPr>
          <w:rFonts w:ascii="Arial" w:hAnsi="Arial" w:cs="Arial"/>
          <w:sz w:val="24"/>
          <w:szCs w:val="24"/>
        </w:rPr>
        <w:t xml:space="preserve"> </w:t>
      </w:r>
      <w:r w:rsidR="00D8085F" w:rsidRPr="00FB6E53">
        <w:rPr>
          <w:rFonts w:ascii="Arial" w:hAnsi="Arial" w:cs="Arial"/>
          <w:sz w:val="24"/>
          <w:szCs w:val="24"/>
        </w:rPr>
        <w:t>will move appeals through the process more quickly and streamline the types of appearances before the Board</w:t>
      </w:r>
      <w:r w:rsidR="00234B2F">
        <w:rPr>
          <w:rFonts w:ascii="Arial" w:hAnsi="Arial" w:cs="Arial"/>
          <w:sz w:val="24"/>
          <w:szCs w:val="24"/>
        </w:rPr>
        <w:t>, while maintaining a sustainable service delivery model</w:t>
      </w:r>
      <w:r w:rsidR="007741D9">
        <w:rPr>
          <w:rFonts w:ascii="Arial" w:hAnsi="Arial" w:cs="Arial"/>
          <w:sz w:val="24"/>
          <w:szCs w:val="24"/>
        </w:rPr>
        <w:t xml:space="preserve">. </w:t>
      </w:r>
      <w:r w:rsidR="00CD6EB0" w:rsidRPr="002931E4">
        <w:rPr>
          <w:rFonts w:ascii="Arial" w:hAnsi="Arial" w:cs="Arial"/>
          <w:sz w:val="24"/>
          <w:szCs w:val="24"/>
        </w:rPr>
        <w:tab/>
      </w:r>
    </w:p>
    <w:p w:rsidR="00222618" w:rsidRPr="007741D9" w:rsidRDefault="002B3A13" w:rsidP="007741D9">
      <w:pPr>
        <w:ind w:left="720"/>
        <w:rPr>
          <w:rFonts w:ascii="Arial" w:hAnsi="Arial" w:cs="Arial"/>
          <w:sz w:val="24"/>
        </w:rPr>
      </w:pPr>
      <w:r w:rsidRPr="007741D9">
        <w:rPr>
          <w:rFonts w:ascii="Arial" w:hAnsi="Arial" w:cs="Arial"/>
          <w:sz w:val="24"/>
        </w:rPr>
        <w:t xml:space="preserve">What </w:t>
      </w:r>
      <w:r w:rsidR="00D8085F" w:rsidRPr="007741D9">
        <w:rPr>
          <w:rFonts w:ascii="Arial" w:hAnsi="Arial" w:cs="Arial"/>
          <w:sz w:val="24"/>
        </w:rPr>
        <w:t>consultation</w:t>
      </w:r>
      <w:r w:rsidR="00055419" w:rsidRPr="007741D9">
        <w:rPr>
          <w:rFonts w:ascii="Arial" w:hAnsi="Arial" w:cs="Arial"/>
          <w:sz w:val="24"/>
        </w:rPr>
        <w:t xml:space="preserve"> </w:t>
      </w:r>
      <w:r w:rsidRPr="007741D9">
        <w:rPr>
          <w:rFonts w:ascii="Arial" w:hAnsi="Arial" w:cs="Arial"/>
          <w:sz w:val="24"/>
        </w:rPr>
        <w:t xml:space="preserve">will there be </w:t>
      </w:r>
      <w:r w:rsidR="00055419" w:rsidRPr="007741D9">
        <w:rPr>
          <w:rFonts w:ascii="Arial" w:hAnsi="Arial" w:cs="Arial"/>
          <w:sz w:val="24"/>
        </w:rPr>
        <w:t>on these changes</w:t>
      </w:r>
      <w:r w:rsidR="00D8085F" w:rsidRPr="007741D9">
        <w:rPr>
          <w:rFonts w:ascii="Arial" w:hAnsi="Arial" w:cs="Arial"/>
          <w:sz w:val="24"/>
        </w:rPr>
        <w:t>?</w:t>
      </w:r>
    </w:p>
    <w:p w:rsidR="00BE69A5" w:rsidRPr="007741D9" w:rsidRDefault="00310483" w:rsidP="007741D9">
      <w:pPr>
        <w:pStyle w:val="ListParagraph"/>
        <w:ind w:left="1440"/>
        <w:rPr>
          <w:rFonts w:ascii="Arial" w:hAnsi="Arial" w:cs="Arial"/>
          <w:sz w:val="24"/>
          <w:szCs w:val="24"/>
        </w:rPr>
      </w:pPr>
      <w:r>
        <w:rPr>
          <w:rFonts w:ascii="Arial" w:hAnsi="Arial" w:cs="Arial"/>
          <w:sz w:val="24"/>
          <w:szCs w:val="24"/>
        </w:rPr>
        <w:t xml:space="preserve">Feedback on the </w:t>
      </w:r>
      <w:r w:rsidR="00F27515" w:rsidRPr="006A6559">
        <w:rPr>
          <w:rFonts w:ascii="Arial" w:hAnsi="Arial" w:cs="Arial"/>
          <w:sz w:val="24"/>
          <w:szCs w:val="24"/>
        </w:rPr>
        <w:t xml:space="preserve">draft Rule changes will be </w:t>
      </w:r>
      <w:r>
        <w:rPr>
          <w:rFonts w:ascii="Arial" w:hAnsi="Arial" w:cs="Arial"/>
          <w:sz w:val="24"/>
          <w:szCs w:val="24"/>
        </w:rPr>
        <w:t>accepted f</w:t>
      </w:r>
      <w:r w:rsidR="006A6559" w:rsidRPr="006A6559">
        <w:rPr>
          <w:rFonts w:ascii="Arial" w:hAnsi="Arial" w:cs="Arial"/>
          <w:sz w:val="24"/>
          <w:szCs w:val="24"/>
        </w:rPr>
        <w:t>or two weeks after posting on the website</w:t>
      </w:r>
      <w:r w:rsidR="00D05EF3">
        <w:rPr>
          <w:rFonts w:ascii="Arial" w:hAnsi="Arial" w:cs="Arial"/>
          <w:sz w:val="24"/>
          <w:szCs w:val="24"/>
        </w:rPr>
        <w:t xml:space="preserve">. </w:t>
      </w:r>
      <w:r w:rsidR="00556370">
        <w:rPr>
          <w:rFonts w:ascii="Arial" w:hAnsi="Arial" w:cs="Arial"/>
          <w:sz w:val="24"/>
          <w:szCs w:val="24"/>
        </w:rPr>
        <w:t xml:space="preserve">Comments and suggestions </w:t>
      </w:r>
      <w:r>
        <w:rPr>
          <w:rFonts w:ascii="Arial" w:hAnsi="Arial" w:cs="Arial"/>
          <w:sz w:val="24"/>
          <w:szCs w:val="24"/>
        </w:rPr>
        <w:t xml:space="preserve">from stakeholders and the public </w:t>
      </w:r>
      <w:r w:rsidR="00F27515" w:rsidRPr="006A6559">
        <w:rPr>
          <w:rFonts w:ascii="Arial" w:hAnsi="Arial" w:cs="Arial"/>
          <w:sz w:val="24"/>
          <w:szCs w:val="24"/>
        </w:rPr>
        <w:t xml:space="preserve">will be considered by Tribunals </w:t>
      </w:r>
      <w:r w:rsidR="00F27515" w:rsidRPr="00556370">
        <w:rPr>
          <w:rFonts w:ascii="Arial" w:hAnsi="Arial" w:cs="Arial"/>
          <w:sz w:val="24"/>
          <w:szCs w:val="24"/>
        </w:rPr>
        <w:t>Ontario</w:t>
      </w:r>
      <w:r w:rsidR="007741D9">
        <w:rPr>
          <w:rFonts w:ascii="Arial" w:hAnsi="Arial" w:cs="Arial"/>
          <w:sz w:val="24"/>
          <w:szCs w:val="24"/>
        </w:rPr>
        <w:t xml:space="preserve"> before any Rule </w:t>
      </w:r>
      <w:r w:rsidR="00217DA2" w:rsidRPr="00556370">
        <w:rPr>
          <w:rFonts w:ascii="Arial" w:hAnsi="Arial" w:cs="Arial"/>
          <w:sz w:val="24"/>
          <w:szCs w:val="24"/>
        </w:rPr>
        <w:t>changes are implemented.</w:t>
      </w:r>
    </w:p>
    <w:p w:rsidR="00D8085F" w:rsidRDefault="00D8085F" w:rsidP="00CD6EB0">
      <w:pPr>
        <w:ind w:left="720"/>
        <w:rPr>
          <w:rFonts w:ascii="Arial" w:hAnsi="Arial" w:cs="Arial"/>
          <w:sz w:val="24"/>
          <w:szCs w:val="24"/>
        </w:rPr>
      </w:pPr>
      <w:r>
        <w:rPr>
          <w:rFonts w:ascii="Arial" w:hAnsi="Arial" w:cs="Arial"/>
          <w:sz w:val="24"/>
          <w:szCs w:val="24"/>
        </w:rPr>
        <w:t>Which appeals will have new Schedules of Events?</w:t>
      </w:r>
    </w:p>
    <w:p w:rsidR="00D8085F" w:rsidRPr="00FB6E53" w:rsidRDefault="00D8085F" w:rsidP="00CD6EB0">
      <w:pPr>
        <w:pStyle w:val="ListParagraph"/>
        <w:ind w:left="1440"/>
        <w:rPr>
          <w:rFonts w:ascii="Arial" w:hAnsi="Arial" w:cs="Arial"/>
          <w:sz w:val="24"/>
          <w:szCs w:val="24"/>
        </w:rPr>
      </w:pPr>
      <w:r w:rsidRPr="00FB6E53">
        <w:rPr>
          <w:rFonts w:ascii="Arial" w:hAnsi="Arial" w:cs="Arial"/>
          <w:sz w:val="24"/>
          <w:szCs w:val="24"/>
        </w:rPr>
        <w:t xml:space="preserve">For both general and summary proceedings, appeals with a commencement </w:t>
      </w:r>
      <w:r w:rsidR="00310483">
        <w:rPr>
          <w:rFonts w:ascii="Arial" w:hAnsi="Arial" w:cs="Arial"/>
          <w:sz w:val="24"/>
          <w:szCs w:val="24"/>
        </w:rPr>
        <w:t xml:space="preserve">date </w:t>
      </w:r>
      <w:r w:rsidRPr="00FB6E53">
        <w:rPr>
          <w:rFonts w:ascii="Arial" w:hAnsi="Arial" w:cs="Arial"/>
          <w:sz w:val="24"/>
          <w:szCs w:val="24"/>
        </w:rPr>
        <w:t xml:space="preserve">of </w:t>
      </w:r>
      <w:r w:rsidR="00EE194A">
        <w:rPr>
          <w:rFonts w:ascii="Arial" w:hAnsi="Arial" w:cs="Arial"/>
          <w:sz w:val="24"/>
          <w:szCs w:val="24"/>
        </w:rPr>
        <w:t>October 15</w:t>
      </w:r>
      <w:r w:rsidRPr="00FB6E53">
        <w:rPr>
          <w:rFonts w:ascii="Arial" w:hAnsi="Arial" w:cs="Arial"/>
          <w:sz w:val="24"/>
          <w:szCs w:val="24"/>
        </w:rPr>
        <w:t xml:space="preserve">, 2019, or later, will be assigned the new Schedule of Events attached to the draft Rules.  Properties that have </w:t>
      </w:r>
      <w:r w:rsidR="00217DA2" w:rsidRPr="00FB6E53">
        <w:rPr>
          <w:rFonts w:ascii="Arial" w:hAnsi="Arial" w:cs="Arial"/>
          <w:sz w:val="24"/>
          <w:szCs w:val="24"/>
        </w:rPr>
        <w:t xml:space="preserve">only </w:t>
      </w:r>
      <w:r w:rsidRPr="00FB6E53">
        <w:rPr>
          <w:rFonts w:ascii="Arial" w:hAnsi="Arial" w:cs="Arial"/>
          <w:sz w:val="24"/>
          <w:szCs w:val="24"/>
        </w:rPr>
        <w:t xml:space="preserve">outstanding appeals from before the 2017 taxation year will be assigned a new commencement date </w:t>
      </w:r>
      <w:r w:rsidR="002762CB">
        <w:rPr>
          <w:rFonts w:ascii="Arial" w:hAnsi="Arial" w:cs="Arial"/>
          <w:sz w:val="24"/>
          <w:szCs w:val="24"/>
        </w:rPr>
        <w:t>in the upcoming months</w:t>
      </w:r>
      <w:r w:rsidRPr="00FB6E53">
        <w:rPr>
          <w:rFonts w:ascii="Arial" w:hAnsi="Arial" w:cs="Arial"/>
          <w:sz w:val="24"/>
          <w:szCs w:val="24"/>
        </w:rPr>
        <w:t xml:space="preserve"> and an </w:t>
      </w:r>
      <w:r w:rsidRPr="00FB6E53">
        <w:rPr>
          <w:rFonts w:ascii="Arial" w:hAnsi="Arial" w:cs="Arial"/>
          <w:sz w:val="24"/>
          <w:szCs w:val="24"/>
        </w:rPr>
        <w:lastRenderedPageBreak/>
        <w:t>expedited Schedule of Events.</w:t>
      </w:r>
      <w:r w:rsidR="00FB6E53">
        <w:rPr>
          <w:rFonts w:ascii="Arial" w:hAnsi="Arial" w:cs="Arial"/>
          <w:sz w:val="24"/>
          <w:szCs w:val="24"/>
        </w:rPr>
        <w:t xml:space="preserve">  The ARB has reviewed </w:t>
      </w:r>
      <w:r w:rsidR="00DF6F46">
        <w:rPr>
          <w:rFonts w:ascii="Arial" w:hAnsi="Arial" w:cs="Arial"/>
          <w:sz w:val="24"/>
          <w:szCs w:val="24"/>
        </w:rPr>
        <w:t>its</w:t>
      </w:r>
      <w:r w:rsidR="00FB6E53">
        <w:rPr>
          <w:rFonts w:ascii="Arial" w:hAnsi="Arial" w:cs="Arial"/>
          <w:sz w:val="24"/>
          <w:szCs w:val="24"/>
        </w:rPr>
        <w:t xml:space="preserve"> processes and identified opportunities to streamline </w:t>
      </w:r>
      <w:r w:rsidR="00CD6EB0">
        <w:rPr>
          <w:rFonts w:ascii="Arial" w:hAnsi="Arial" w:cs="Arial"/>
          <w:sz w:val="24"/>
          <w:szCs w:val="24"/>
        </w:rPr>
        <w:t xml:space="preserve">appeals </w:t>
      </w:r>
      <w:r w:rsidR="00FB6E53">
        <w:rPr>
          <w:rFonts w:ascii="Arial" w:hAnsi="Arial" w:cs="Arial"/>
          <w:sz w:val="24"/>
          <w:szCs w:val="24"/>
        </w:rPr>
        <w:t>based on overall experience to date</w:t>
      </w:r>
      <w:r w:rsidR="00DF6F46">
        <w:rPr>
          <w:rFonts w:ascii="Arial" w:hAnsi="Arial" w:cs="Arial"/>
          <w:sz w:val="24"/>
          <w:szCs w:val="24"/>
        </w:rPr>
        <w:t>.</w:t>
      </w:r>
    </w:p>
    <w:p w:rsidR="003F63C2" w:rsidRDefault="00055419" w:rsidP="00CD6EB0">
      <w:pPr>
        <w:ind w:left="720"/>
        <w:rPr>
          <w:rFonts w:ascii="Arial" w:hAnsi="Arial" w:cs="Arial"/>
          <w:sz w:val="24"/>
          <w:szCs w:val="24"/>
        </w:rPr>
      </w:pPr>
      <w:r>
        <w:rPr>
          <w:rFonts w:ascii="Arial" w:hAnsi="Arial" w:cs="Arial"/>
          <w:sz w:val="24"/>
          <w:szCs w:val="24"/>
        </w:rPr>
        <w:t>Why is the term “settlement conference” being changed to “case conference”?</w:t>
      </w:r>
    </w:p>
    <w:p w:rsidR="00222618" w:rsidRPr="007741D9" w:rsidRDefault="00655285" w:rsidP="007741D9">
      <w:pPr>
        <w:pStyle w:val="ListParagraph"/>
        <w:ind w:left="1440"/>
        <w:rPr>
          <w:rFonts w:ascii="Arial" w:hAnsi="Arial" w:cs="Arial"/>
          <w:sz w:val="24"/>
          <w:szCs w:val="24"/>
        </w:rPr>
      </w:pPr>
      <w:r w:rsidRPr="00FB6E53">
        <w:rPr>
          <w:rFonts w:ascii="Arial" w:hAnsi="Arial" w:cs="Arial"/>
          <w:sz w:val="24"/>
          <w:szCs w:val="24"/>
        </w:rPr>
        <w:t>The proposed Rule changes would rename “</w:t>
      </w:r>
      <w:r w:rsidR="00D05EF3">
        <w:rPr>
          <w:rFonts w:ascii="Arial" w:hAnsi="Arial" w:cs="Arial"/>
          <w:sz w:val="24"/>
          <w:szCs w:val="24"/>
        </w:rPr>
        <w:t>s</w:t>
      </w:r>
      <w:r w:rsidR="00D05EF3" w:rsidRPr="00FB6E53">
        <w:rPr>
          <w:rFonts w:ascii="Arial" w:hAnsi="Arial" w:cs="Arial"/>
          <w:sz w:val="24"/>
          <w:szCs w:val="24"/>
        </w:rPr>
        <w:t xml:space="preserve">ettlement </w:t>
      </w:r>
      <w:r w:rsidR="00D05EF3">
        <w:rPr>
          <w:rFonts w:ascii="Arial" w:hAnsi="Arial" w:cs="Arial"/>
          <w:sz w:val="24"/>
          <w:szCs w:val="24"/>
        </w:rPr>
        <w:t>c</w:t>
      </w:r>
      <w:r w:rsidR="00D05EF3" w:rsidRPr="00FB6E53">
        <w:rPr>
          <w:rFonts w:ascii="Arial" w:hAnsi="Arial" w:cs="Arial"/>
          <w:sz w:val="24"/>
          <w:szCs w:val="24"/>
        </w:rPr>
        <w:t>onference</w:t>
      </w:r>
      <w:r w:rsidRPr="00FB6E53">
        <w:rPr>
          <w:rFonts w:ascii="Arial" w:hAnsi="Arial" w:cs="Arial"/>
          <w:sz w:val="24"/>
          <w:szCs w:val="24"/>
        </w:rPr>
        <w:t>” to “</w:t>
      </w:r>
      <w:r w:rsidR="00D05EF3">
        <w:rPr>
          <w:rFonts w:ascii="Arial" w:hAnsi="Arial" w:cs="Arial"/>
          <w:sz w:val="24"/>
          <w:szCs w:val="24"/>
        </w:rPr>
        <w:t>c</w:t>
      </w:r>
      <w:r w:rsidR="00D05EF3" w:rsidRPr="00FB6E53">
        <w:rPr>
          <w:rFonts w:ascii="Arial" w:hAnsi="Arial" w:cs="Arial"/>
          <w:sz w:val="24"/>
          <w:szCs w:val="24"/>
        </w:rPr>
        <w:t xml:space="preserve">ase </w:t>
      </w:r>
      <w:r w:rsidR="00D05EF3">
        <w:rPr>
          <w:rFonts w:ascii="Arial" w:hAnsi="Arial" w:cs="Arial"/>
          <w:sz w:val="24"/>
          <w:szCs w:val="24"/>
        </w:rPr>
        <w:t>c</w:t>
      </w:r>
      <w:r w:rsidR="00D05EF3" w:rsidRPr="00FB6E53">
        <w:rPr>
          <w:rFonts w:ascii="Arial" w:hAnsi="Arial" w:cs="Arial"/>
          <w:sz w:val="24"/>
          <w:szCs w:val="24"/>
        </w:rPr>
        <w:t>onference</w:t>
      </w:r>
      <w:r w:rsidRPr="00FB6E53">
        <w:rPr>
          <w:rFonts w:ascii="Arial" w:hAnsi="Arial" w:cs="Arial"/>
          <w:sz w:val="24"/>
          <w:szCs w:val="24"/>
        </w:rPr>
        <w:t xml:space="preserve">” to reflect the fact that the </w:t>
      </w:r>
      <w:r w:rsidR="00383241" w:rsidRPr="00FB6E53">
        <w:rPr>
          <w:rFonts w:ascii="Arial" w:hAnsi="Arial" w:cs="Arial"/>
          <w:sz w:val="24"/>
          <w:szCs w:val="24"/>
        </w:rPr>
        <w:t>s</w:t>
      </w:r>
      <w:r w:rsidRPr="00FB6E53">
        <w:rPr>
          <w:rFonts w:ascii="Arial" w:hAnsi="Arial" w:cs="Arial"/>
          <w:sz w:val="24"/>
          <w:szCs w:val="24"/>
        </w:rPr>
        <w:t xml:space="preserve">ettlement </w:t>
      </w:r>
      <w:r w:rsidR="00383241" w:rsidRPr="00FB6E53">
        <w:rPr>
          <w:rFonts w:ascii="Arial" w:hAnsi="Arial" w:cs="Arial"/>
          <w:sz w:val="24"/>
          <w:szCs w:val="24"/>
        </w:rPr>
        <w:t>c</w:t>
      </w:r>
      <w:r w:rsidRPr="00FB6E53">
        <w:rPr>
          <w:rFonts w:ascii="Arial" w:hAnsi="Arial" w:cs="Arial"/>
          <w:sz w:val="24"/>
          <w:szCs w:val="24"/>
        </w:rPr>
        <w:t xml:space="preserve">onference process includes case management of hearings if an appeal is not resolved.  </w:t>
      </w:r>
      <w:r w:rsidR="00383241" w:rsidRPr="00FB6E53">
        <w:rPr>
          <w:rFonts w:ascii="Arial" w:hAnsi="Arial" w:cs="Arial"/>
          <w:sz w:val="24"/>
          <w:szCs w:val="24"/>
        </w:rPr>
        <w:t>T</w:t>
      </w:r>
      <w:r w:rsidR="00055419" w:rsidRPr="00FB6E53">
        <w:rPr>
          <w:rFonts w:ascii="Arial" w:hAnsi="Arial" w:cs="Arial"/>
          <w:sz w:val="24"/>
          <w:szCs w:val="24"/>
        </w:rPr>
        <w:t xml:space="preserve">here will be no substantive changes to </w:t>
      </w:r>
      <w:r w:rsidRPr="00FB6E53">
        <w:rPr>
          <w:rFonts w:ascii="Arial" w:hAnsi="Arial" w:cs="Arial"/>
          <w:sz w:val="24"/>
          <w:szCs w:val="24"/>
        </w:rPr>
        <w:t>the current settlement conference process</w:t>
      </w:r>
      <w:r w:rsidR="00383241" w:rsidRPr="00FB6E53">
        <w:rPr>
          <w:rFonts w:ascii="Arial" w:hAnsi="Arial" w:cs="Arial"/>
          <w:sz w:val="24"/>
          <w:szCs w:val="24"/>
        </w:rPr>
        <w:t>.</w:t>
      </w:r>
    </w:p>
    <w:p w:rsidR="00222618" w:rsidRPr="007741D9" w:rsidRDefault="00383241" w:rsidP="007741D9">
      <w:pPr>
        <w:ind w:left="720"/>
        <w:rPr>
          <w:rFonts w:ascii="Arial" w:hAnsi="Arial" w:cs="Arial"/>
          <w:sz w:val="24"/>
        </w:rPr>
      </w:pPr>
      <w:r w:rsidRPr="007741D9">
        <w:rPr>
          <w:rFonts w:ascii="Arial" w:hAnsi="Arial" w:cs="Arial"/>
          <w:sz w:val="24"/>
        </w:rPr>
        <w:t>Why is mediation being removed as an option?</w:t>
      </w:r>
    </w:p>
    <w:p w:rsidR="00FB6E53" w:rsidRPr="007741D9" w:rsidRDefault="00383241" w:rsidP="007741D9">
      <w:pPr>
        <w:pStyle w:val="ListParagraph"/>
        <w:ind w:left="1440"/>
        <w:rPr>
          <w:rFonts w:ascii="Arial" w:hAnsi="Arial" w:cs="Arial"/>
          <w:sz w:val="24"/>
          <w:szCs w:val="24"/>
        </w:rPr>
      </w:pPr>
      <w:r w:rsidRPr="00FB6E53">
        <w:rPr>
          <w:rFonts w:ascii="Arial" w:hAnsi="Arial" w:cs="Arial"/>
          <w:sz w:val="24"/>
          <w:szCs w:val="24"/>
        </w:rPr>
        <w:t>Although the proposed Rule changes would delete reference</w:t>
      </w:r>
      <w:r w:rsidR="00556370">
        <w:rPr>
          <w:rFonts w:ascii="Arial" w:hAnsi="Arial" w:cs="Arial"/>
          <w:sz w:val="24"/>
          <w:szCs w:val="24"/>
        </w:rPr>
        <w:t>s</w:t>
      </w:r>
      <w:r w:rsidRPr="00FB6E53">
        <w:rPr>
          <w:rFonts w:ascii="Arial" w:hAnsi="Arial" w:cs="Arial"/>
          <w:sz w:val="24"/>
          <w:szCs w:val="24"/>
        </w:rPr>
        <w:t xml:space="preserve"> to mediation, mediation services </w:t>
      </w:r>
      <w:r w:rsidR="00046BD4" w:rsidRPr="00FB6E53">
        <w:rPr>
          <w:rFonts w:ascii="Arial" w:hAnsi="Arial" w:cs="Arial"/>
          <w:sz w:val="24"/>
          <w:szCs w:val="24"/>
        </w:rPr>
        <w:t xml:space="preserve">will continue to be available during </w:t>
      </w:r>
      <w:r w:rsidRPr="00FB6E53">
        <w:rPr>
          <w:rFonts w:ascii="Arial" w:hAnsi="Arial" w:cs="Arial"/>
          <w:sz w:val="24"/>
          <w:szCs w:val="24"/>
        </w:rPr>
        <w:t xml:space="preserve">the case conference process (formerly known as the settlement conference process, see above).     </w:t>
      </w:r>
    </w:p>
    <w:p w:rsidR="00222618" w:rsidRPr="007741D9" w:rsidRDefault="00383241" w:rsidP="007741D9">
      <w:pPr>
        <w:ind w:left="720"/>
        <w:rPr>
          <w:rFonts w:ascii="Arial" w:hAnsi="Arial" w:cs="Arial"/>
          <w:sz w:val="24"/>
        </w:rPr>
      </w:pPr>
      <w:r w:rsidRPr="007741D9">
        <w:rPr>
          <w:rFonts w:ascii="Arial" w:hAnsi="Arial" w:cs="Arial"/>
          <w:sz w:val="24"/>
        </w:rPr>
        <w:t xml:space="preserve">Is the Expedited Board Direction Form </w:t>
      </w:r>
      <w:r w:rsidR="00046BD4" w:rsidRPr="007741D9">
        <w:rPr>
          <w:rFonts w:ascii="Arial" w:hAnsi="Arial" w:cs="Arial"/>
          <w:sz w:val="24"/>
        </w:rPr>
        <w:t xml:space="preserve">(EBDF) </w:t>
      </w:r>
      <w:r w:rsidRPr="007741D9">
        <w:rPr>
          <w:rFonts w:ascii="Arial" w:hAnsi="Arial" w:cs="Arial"/>
          <w:sz w:val="24"/>
        </w:rPr>
        <w:t>process still available should the parties need directions from the Board?</w:t>
      </w:r>
    </w:p>
    <w:p w:rsidR="002B3A13" w:rsidRPr="00FB6E53" w:rsidRDefault="002B3A13" w:rsidP="00CD6EB0">
      <w:pPr>
        <w:pStyle w:val="ListParagraph"/>
        <w:ind w:left="1440"/>
        <w:rPr>
          <w:rFonts w:ascii="Arial" w:hAnsi="Arial" w:cs="Arial"/>
          <w:sz w:val="24"/>
          <w:szCs w:val="24"/>
        </w:rPr>
      </w:pPr>
      <w:r w:rsidRPr="00FB6E53">
        <w:rPr>
          <w:rFonts w:ascii="Arial" w:hAnsi="Arial" w:cs="Arial"/>
          <w:sz w:val="24"/>
          <w:szCs w:val="24"/>
        </w:rPr>
        <w:t xml:space="preserve">Yes, the EBDF process continues and remains unchanged. </w:t>
      </w:r>
    </w:p>
    <w:p w:rsidR="00055419" w:rsidRDefault="00FB6E53" w:rsidP="00CD6EB0">
      <w:pPr>
        <w:ind w:left="720"/>
        <w:rPr>
          <w:rFonts w:ascii="Arial" w:hAnsi="Arial" w:cs="Arial"/>
          <w:sz w:val="24"/>
          <w:szCs w:val="24"/>
        </w:rPr>
      </w:pPr>
      <w:r>
        <w:rPr>
          <w:rFonts w:ascii="Arial" w:hAnsi="Arial" w:cs="Arial"/>
          <w:sz w:val="24"/>
          <w:szCs w:val="24"/>
        </w:rPr>
        <w:t>Will there be more changes in the future?</w:t>
      </w:r>
    </w:p>
    <w:p w:rsidR="00222618" w:rsidRPr="007741D9" w:rsidRDefault="005641CC" w:rsidP="007741D9">
      <w:pPr>
        <w:pStyle w:val="ListParagraph"/>
        <w:ind w:left="1440"/>
        <w:rPr>
          <w:rFonts w:ascii="Arial" w:hAnsi="Arial" w:cs="Arial"/>
          <w:sz w:val="24"/>
          <w:szCs w:val="24"/>
        </w:rPr>
      </w:pPr>
      <w:r w:rsidRPr="00FB6E53">
        <w:rPr>
          <w:rFonts w:ascii="Arial" w:hAnsi="Arial" w:cs="Arial"/>
          <w:sz w:val="24"/>
          <w:szCs w:val="24"/>
        </w:rPr>
        <w:t>Tribunals Ontario is reviewing the operation</w:t>
      </w:r>
      <w:r w:rsidR="00320B8F">
        <w:rPr>
          <w:rFonts w:ascii="Arial" w:hAnsi="Arial" w:cs="Arial"/>
          <w:sz w:val="24"/>
          <w:szCs w:val="24"/>
        </w:rPr>
        <w:t>s</w:t>
      </w:r>
      <w:r w:rsidRPr="00FB6E53">
        <w:rPr>
          <w:rFonts w:ascii="Arial" w:hAnsi="Arial" w:cs="Arial"/>
          <w:sz w:val="24"/>
          <w:szCs w:val="24"/>
        </w:rPr>
        <w:t xml:space="preserve"> of all </w:t>
      </w:r>
      <w:r w:rsidR="00320B8F">
        <w:rPr>
          <w:rFonts w:ascii="Arial" w:hAnsi="Arial" w:cs="Arial"/>
          <w:sz w:val="24"/>
          <w:szCs w:val="24"/>
        </w:rPr>
        <w:t xml:space="preserve">its </w:t>
      </w:r>
      <w:r w:rsidRPr="00FB6E53">
        <w:rPr>
          <w:rFonts w:ascii="Arial" w:hAnsi="Arial" w:cs="Arial"/>
          <w:sz w:val="24"/>
          <w:szCs w:val="24"/>
        </w:rPr>
        <w:t>boards and tribunals</w:t>
      </w:r>
      <w:r w:rsidR="00320B8F">
        <w:rPr>
          <w:rFonts w:ascii="Arial" w:hAnsi="Arial" w:cs="Arial"/>
          <w:sz w:val="24"/>
          <w:szCs w:val="24"/>
        </w:rPr>
        <w:t xml:space="preserve">. Once </w:t>
      </w:r>
      <w:r w:rsidR="00226EBA">
        <w:rPr>
          <w:rFonts w:ascii="Arial" w:hAnsi="Arial" w:cs="Arial"/>
          <w:sz w:val="24"/>
          <w:szCs w:val="24"/>
        </w:rPr>
        <w:t>the</w:t>
      </w:r>
      <w:r w:rsidR="00320B8F">
        <w:rPr>
          <w:rFonts w:ascii="Arial" w:hAnsi="Arial" w:cs="Arial"/>
          <w:sz w:val="24"/>
          <w:szCs w:val="24"/>
        </w:rPr>
        <w:t xml:space="preserve"> review is complete, the Board will </w:t>
      </w:r>
      <w:r w:rsidRPr="00FB6E53">
        <w:rPr>
          <w:rFonts w:ascii="Arial" w:hAnsi="Arial" w:cs="Arial"/>
          <w:sz w:val="24"/>
          <w:szCs w:val="24"/>
        </w:rPr>
        <w:t xml:space="preserve">determine </w:t>
      </w:r>
      <w:r w:rsidR="00320B8F">
        <w:rPr>
          <w:rFonts w:ascii="Arial" w:hAnsi="Arial" w:cs="Arial"/>
          <w:sz w:val="24"/>
          <w:szCs w:val="24"/>
        </w:rPr>
        <w:t>if any</w:t>
      </w:r>
      <w:r w:rsidR="00320B8F" w:rsidRPr="00FB6E53">
        <w:rPr>
          <w:rFonts w:ascii="Arial" w:hAnsi="Arial" w:cs="Arial"/>
          <w:sz w:val="24"/>
          <w:szCs w:val="24"/>
        </w:rPr>
        <w:t xml:space="preserve"> </w:t>
      </w:r>
      <w:r w:rsidR="00320B8F">
        <w:rPr>
          <w:rFonts w:ascii="Arial" w:hAnsi="Arial" w:cs="Arial"/>
          <w:sz w:val="24"/>
          <w:szCs w:val="24"/>
        </w:rPr>
        <w:t>further changes will be introduced</w:t>
      </w:r>
      <w:r w:rsidR="00320B8F" w:rsidRPr="00FB6E53">
        <w:rPr>
          <w:rFonts w:ascii="Arial" w:hAnsi="Arial" w:cs="Arial"/>
          <w:sz w:val="24"/>
          <w:szCs w:val="24"/>
        </w:rPr>
        <w:t xml:space="preserve"> </w:t>
      </w:r>
      <w:r w:rsidRPr="00FB6E53">
        <w:rPr>
          <w:rFonts w:ascii="Arial" w:hAnsi="Arial" w:cs="Arial"/>
          <w:sz w:val="24"/>
          <w:szCs w:val="24"/>
        </w:rPr>
        <w:t>for the next cycle.</w:t>
      </w:r>
    </w:p>
    <w:p w:rsidR="00FB6E53" w:rsidRPr="007741D9" w:rsidRDefault="00FB6E53" w:rsidP="007741D9">
      <w:pPr>
        <w:ind w:left="720"/>
        <w:rPr>
          <w:rFonts w:ascii="Arial" w:hAnsi="Arial" w:cs="Arial"/>
          <w:sz w:val="24"/>
        </w:rPr>
      </w:pPr>
      <w:r w:rsidRPr="007741D9">
        <w:rPr>
          <w:rFonts w:ascii="Arial" w:hAnsi="Arial" w:cs="Arial"/>
          <w:sz w:val="24"/>
        </w:rPr>
        <w:t xml:space="preserve">  </w:t>
      </w:r>
      <w:r w:rsidR="00CD6EB0" w:rsidRPr="007741D9">
        <w:rPr>
          <w:rFonts w:ascii="Arial" w:hAnsi="Arial" w:cs="Arial"/>
          <w:sz w:val="24"/>
        </w:rPr>
        <w:t>Do all hearings have to be done electronically instead of in person?</w:t>
      </w:r>
    </w:p>
    <w:p w:rsidR="00817F0E" w:rsidRPr="00222618" w:rsidRDefault="00241DEC" w:rsidP="00CD6EB0">
      <w:pPr>
        <w:pStyle w:val="ListParagraph"/>
        <w:spacing w:after="0" w:line="240" w:lineRule="auto"/>
        <w:ind w:left="1440"/>
        <w:rPr>
          <w:rFonts w:ascii="Arial" w:hAnsi="Arial" w:cs="Arial"/>
          <w:sz w:val="24"/>
          <w:szCs w:val="24"/>
        </w:rPr>
      </w:pPr>
      <w:r w:rsidRPr="00FB6E53">
        <w:rPr>
          <w:rFonts w:ascii="Arial" w:hAnsi="Arial" w:cs="Arial"/>
          <w:sz w:val="24"/>
          <w:szCs w:val="24"/>
        </w:rPr>
        <w:t xml:space="preserve">The Board will </w:t>
      </w:r>
      <w:r w:rsidR="00E37795">
        <w:rPr>
          <w:rFonts w:ascii="Arial" w:hAnsi="Arial" w:cs="Arial"/>
          <w:sz w:val="24"/>
          <w:szCs w:val="24"/>
        </w:rPr>
        <w:t>hold</w:t>
      </w:r>
      <w:r w:rsidRPr="00FB6E53">
        <w:rPr>
          <w:rFonts w:ascii="Arial" w:hAnsi="Arial" w:cs="Arial"/>
          <w:sz w:val="24"/>
          <w:szCs w:val="24"/>
        </w:rPr>
        <w:t xml:space="preserve"> hearing</w:t>
      </w:r>
      <w:r w:rsidR="00320B8F">
        <w:rPr>
          <w:rFonts w:ascii="Arial" w:hAnsi="Arial" w:cs="Arial"/>
          <w:sz w:val="24"/>
          <w:szCs w:val="24"/>
        </w:rPr>
        <w:t>s</w:t>
      </w:r>
      <w:r w:rsidRPr="00FB6E53">
        <w:rPr>
          <w:rFonts w:ascii="Arial" w:hAnsi="Arial" w:cs="Arial"/>
          <w:sz w:val="24"/>
          <w:szCs w:val="24"/>
        </w:rPr>
        <w:t xml:space="preserve"> electronically, either by phone or video, unless a party satisfies the Board that holding an electronic hearing is likely to cause the party significant prejudice.  Rules 86 through 91 </w:t>
      </w:r>
      <w:r w:rsidR="00094BF2">
        <w:rPr>
          <w:rFonts w:ascii="Arial" w:hAnsi="Arial" w:cs="Arial"/>
          <w:sz w:val="24"/>
          <w:szCs w:val="24"/>
        </w:rPr>
        <w:t xml:space="preserve">(new) and current Rules 90 through 95 </w:t>
      </w:r>
      <w:r w:rsidRPr="00FB6E53">
        <w:rPr>
          <w:rFonts w:ascii="Arial" w:hAnsi="Arial" w:cs="Arial"/>
          <w:sz w:val="24"/>
          <w:szCs w:val="24"/>
        </w:rPr>
        <w:t>set out the process for objecting to a hearing being held electronically.</w:t>
      </w:r>
    </w:p>
    <w:p w:rsidR="00817F0E" w:rsidRPr="00D05A87" w:rsidRDefault="00817F0E" w:rsidP="00D05A87">
      <w:pPr>
        <w:spacing w:after="0" w:line="240" w:lineRule="auto"/>
        <w:rPr>
          <w:rFonts w:ascii="Arial" w:hAnsi="Arial" w:cs="Arial"/>
          <w:sz w:val="24"/>
          <w:szCs w:val="24"/>
        </w:rPr>
      </w:pPr>
    </w:p>
    <w:p w:rsidR="00FB6E53" w:rsidRPr="007741D9" w:rsidRDefault="00FB6E53" w:rsidP="007741D9">
      <w:pPr>
        <w:ind w:left="720"/>
        <w:rPr>
          <w:rFonts w:ascii="Arial" w:hAnsi="Arial" w:cs="Arial"/>
          <w:sz w:val="24"/>
        </w:rPr>
      </w:pPr>
      <w:r>
        <w:t xml:space="preserve"> </w:t>
      </w:r>
      <w:r w:rsidR="00F0222C" w:rsidRPr="007741D9">
        <w:rPr>
          <w:rFonts w:ascii="Arial" w:hAnsi="Arial" w:cs="Arial"/>
          <w:sz w:val="24"/>
        </w:rPr>
        <w:t xml:space="preserve">What if I cannot </w:t>
      </w:r>
      <w:r w:rsidR="00E37795" w:rsidRPr="007741D9">
        <w:rPr>
          <w:rFonts w:ascii="Arial" w:hAnsi="Arial" w:cs="Arial"/>
          <w:sz w:val="24"/>
        </w:rPr>
        <w:t xml:space="preserve">attend on </w:t>
      </w:r>
      <w:r w:rsidR="00F0222C" w:rsidRPr="007741D9">
        <w:rPr>
          <w:rFonts w:ascii="Arial" w:hAnsi="Arial" w:cs="Arial"/>
          <w:sz w:val="24"/>
        </w:rPr>
        <w:t>my hearing date?</w:t>
      </w:r>
    </w:p>
    <w:p w:rsidR="00D05A87" w:rsidRDefault="00D05A87" w:rsidP="00CD6EB0">
      <w:pPr>
        <w:pStyle w:val="ListParagraph"/>
        <w:spacing w:after="0" w:line="240" w:lineRule="auto"/>
        <w:ind w:left="1440"/>
        <w:contextualSpacing w:val="0"/>
        <w:rPr>
          <w:rFonts w:ascii="Arial" w:hAnsi="Arial" w:cs="Arial"/>
          <w:sz w:val="24"/>
          <w:szCs w:val="24"/>
        </w:rPr>
      </w:pPr>
      <w:r>
        <w:rPr>
          <w:rFonts w:ascii="Arial" w:hAnsi="Arial" w:cs="Arial"/>
          <w:sz w:val="24"/>
          <w:szCs w:val="24"/>
        </w:rPr>
        <w:t>As before</w:t>
      </w:r>
      <w:r w:rsidR="00222618">
        <w:rPr>
          <w:rFonts w:ascii="Arial" w:hAnsi="Arial" w:cs="Arial"/>
          <w:sz w:val="24"/>
          <w:szCs w:val="24"/>
        </w:rPr>
        <w:t>,</w:t>
      </w:r>
      <w:r>
        <w:rPr>
          <w:rFonts w:ascii="Arial" w:hAnsi="Arial" w:cs="Arial"/>
          <w:sz w:val="24"/>
          <w:szCs w:val="24"/>
        </w:rPr>
        <w:t xml:space="preserve"> if you cannot attend</w:t>
      </w:r>
      <w:r w:rsidR="00E37795">
        <w:rPr>
          <w:rFonts w:ascii="Arial" w:hAnsi="Arial" w:cs="Arial"/>
          <w:sz w:val="24"/>
          <w:szCs w:val="24"/>
        </w:rPr>
        <w:t xml:space="preserve"> on</w:t>
      </w:r>
      <w:r>
        <w:rPr>
          <w:rFonts w:ascii="Arial" w:hAnsi="Arial" w:cs="Arial"/>
          <w:sz w:val="24"/>
          <w:szCs w:val="24"/>
        </w:rPr>
        <w:t xml:space="preserve"> the hearing date set by the Board, you</w:t>
      </w:r>
      <w:r w:rsidR="00556370">
        <w:rPr>
          <w:rFonts w:ascii="Arial" w:hAnsi="Arial" w:cs="Arial"/>
          <w:sz w:val="24"/>
          <w:szCs w:val="24"/>
        </w:rPr>
        <w:t xml:space="preserve"> may request an adjournment. Please refer to</w:t>
      </w:r>
      <w:r>
        <w:rPr>
          <w:rFonts w:ascii="Arial" w:hAnsi="Arial" w:cs="Arial"/>
          <w:sz w:val="24"/>
          <w:szCs w:val="24"/>
        </w:rPr>
        <w:t xml:space="preserve"> </w:t>
      </w:r>
      <w:r w:rsidR="00241DEC">
        <w:rPr>
          <w:rFonts w:ascii="Arial" w:hAnsi="Arial" w:cs="Arial"/>
          <w:sz w:val="24"/>
          <w:szCs w:val="24"/>
        </w:rPr>
        <w:t>R</w:t>
      </w:r>
      <w:r>
        <w:rPr>
          <w:rFonts w:ascii="Arial" w:hAnsi="Arial" w:cs="Arial"/>
          <w:sz w:val="24"/>
          <w:szCs w:val="24"/>
        </w:rPr>
        <w:t>ule</w:t>
      </w:r>
      <w:r w:rsidR="00241DEC">
        <w:rPr>
          <w:rFonts w:ascii="Arial" w:hAnsi="Arial" w:cs="Arial"/>
          <w:sz w:val="24"/>
          <w:szCs w:val="24"/>
        </w:rPr>
        <w:t>s</w:t>
      </w:r>
      <w:r>
        <w:rPr>
          <w:rFonts w:ascii="Arial" w:hAnsi="Arial" w:cs="Arial"/>
          <w:sz w:val="24"/>
          <w:szCs w:val="24"/>
        </w:rPr>
        <w:t xml:space="preserve"> </w:t>
      </w:r>
      <w:r w:rsidR="00241DEC">
        <w:rPr>
          <w:rFonts w:ascii="Arial" w:hAnsi="Arial" w:cs="Arial"/>
          <w:sz w:val="24"/>
          <w:szCs w:val="24"/>
        </w:rPr>
        <w:t>82 through 85</w:t>
      </w:r>
      <w:r>
        <w:rPr>
          <w:rFonts w:ascii="Arial" w:hAnsi="Arial" w:cs="Arial"/>
          <w:sz w:val="24"/>
          <w:szCs w:val="24"/>
        </w:rPr>
        <w:t xml:space="preserve"> for </w:t>
      </w:r>
      <w:r w:rsidR="00D05EF3">
        <w:rPr>
          <w:rFonts w:ascii="Arial" w:hAnsi="Arial" w:cs="Arial"/>
          <w:sz w:val="24"/>
          <w:szCs w:val="24"/>
        </w:rPr>
        <w:t xml:space="preserve">information about the </w:t>
      </w:r>
      <w:r w:rsidR="00241DEC">
        <w:rPr>
          <w:rFonts w:ascii="Arial" w:hAnsi="Arial" w:cs="Arial"/>
          <w:sz w:val="24"/>
          <w:szCs w:val="24"/>
        </w:rPr>
        <w:t>adjournment process.</w:t>
      </w:r>
    </w:p>
    <w:p w:rsidR="00241DEC" w:rsidRPr="00D05A87" w:rsidRDefault="00241DEC" w:rsidP="00D05A87">
      <w:pPr>
        <w:pStyle w:val="ListParagraph"/>
        <w:spacing w:after="0" w:line="240" w:lineRule="auto"/>
        <w:ind w:left="1440"/>
        <w:contextualSpacing w:val="0"/>
        <w:rPr>
          <w:rFonts w:ascii="Arial" w:hAnsi="Arial" w:cs="Arial"/>
          <w:sz w:val="24"/>
          <w:szCs w:val="24"/>
        </w:rPr>
      </w:pPr>
    </w:p>
    <w:p w:rsidR="00FB6E53" w:rsidRPr="007741D9" w:rsidRDefault="00241DEC" w:rsidP="007741D9">
      <w:pPr>
        <w:ind w:left="720"/>
        <w:rPr>
          <w:rFonts w:ascii="Arial" w:hAnsi="Arial" w:cs="Arial"/>
          <w:sz w:val="24"/>
        </w:rPr>
      </w:pPr>
      <w:r w:rsidRPr="007741D9">
        <w:rPr>
          <w:rFonts w:ascii="Arial" w:hAnsi="Arial" w:cs="Arial"/>
          <w:sz w:val="24"/>
        </w:rPr>
        <w:t>Will the Special Property Program continue to apply?</w:t>
      </w:r>
    </w:p>
    <w:p w:rsidR="00241DEC" w:rsidRPr="00FB6E53" w:rsidRDefault="00241DEC" w:rsidP="00CD6EB0">
      <w:pPr>
        <w:pStyle w:val="ListParagraph"/>
        <w:spacing w:after="0" w:line="240" w:lineRule="auto"/>
        <w:ind w:left="1440"/>
        <w:rPr>
          <w:rFonts w:ascii="Arial" w:hAnsi="Arial" w:cs="Arial"/>
          <w:sz w:val="24"/>
          <w:szCs w:val="24"/>
        </w:rPr>
      </w:pPr>
      <w:r w:rsidRPr="00FB6E53">
        <w:rPr>
          <w:rFonts w:ascii="Arial" w:hAnsi="Arial" w:cs="Arial"/>
          <w:sz w:val="24"/>
          <w:szCs w:val="24"/>
        </w:rPr>
        <w:lastRenderedPageBreak/>
        <w:t>Yes.  The Special Property Program is still available for properties that meet the requirements set out in the Guideline.  The deadline for an application will change to week 32 of the Schedule of Events.</w:t>
      </w:r>
    </w:p>
    <w:p w:rsidR="00FB6E53" w:rsidRDefault="00FB6E53" w:rsidP="00241DEC">
      <w:pPr>
        <w:spacing w:after="0" w:line="240" w:lineRule="auto"/>
        <w:ind w:left="993"/>
        <w:rPr>
          <w:rFonts w:ascii="Arial" w:hAnsi="Arial" w:cs="Arial"/>
          <w:sz w:val="24"/>
          <w:szCs w:val="24"/>
        </w:rPr>
      </w:pPr>
    </w:p>
    <w:p w:rsidR="00FB6E53" w:rsidRPr="007741D9" w:rsidRDefault="00F0222C" w:rsidP="007741D9">
      <w:pPr>
        <w:ind w:left="720"/>
        <w:rPr>
          <w:rFonts w:ascii="Arial" w:hAnsi="Arial" w:cs="Arial"/>
          <w:sz w:val="24"/>
        </w:rPr>
      </w:pPr>
      <w:r w:rsidRPr="007741D9">
        <w:rPr>
          <w:rFonts w:ascii="Arial" w:hAnsi="Arial" w:cs="Arial"/>
          <w:sz w:val="24"/>
        </w:rPr>
        <w:t>What is the ‘hearing events months’? Will we be able to select it?</w:t>
      </w:r>
      <w:r w:rsidR="00123B04" w:rsidRPr="007741D9">
        <w:rPr>
          <w:rFonts w:ascii="Arial" w:hAnsi="Arial" w:cs="Arial"/>
          <w:sz w:val="24"/>
        </w:rPr>
        <w:t xml:space="preserve">  </w:t>
      </w:r>
    </w:p>
    <w:p w:rsidR="00241DEC" w:rsidRPr="00FB6E53" w:rsidRDefault="00241DEC" w:rsidP="00CD6EB0">
      <w:pPr>
        <w:pStyle w:val="ListParagraph"/>
        <w:spacing w:after="0" w:line="240" w:lineRule="auto"/>
        <w:ind w:left="1440"/>
        <w:rPr>
          <w:rFonts w:ascii="Arial" w:hAnsi="Arial" w:cs="Arial"/>
          <w:sz w:val="24"/>
          <w:szCs w:val="24"/>
        </w:rPr>
      </w:pPr>
      <w:r w:rsidRPr="00FB6E53">
        <w:rPr>
          <w:rFonts w:ascii="Arial" w:hAnsi="Arial" w:cs="Arial"/>
          <w:sz w:val="24"/>
          <w:szCs w:val="24"/>
        </w:rPr>
        <w:t>The Board will begin to assign a month in which the hearing of the appeals is likely to be heard.  This is based on the commencement day assigned to the appeals and will help the parties schedule their affairs.</w:t>
      </w:r>
    </w:p>
    <w:p w:rsidR="00241DEC" w:rsidRDefault="00241DEC" w:rsidP="00D05A87">
      <w:pPr>
        <w:spacing w:after="0" w:line="240" w:lineRule="auto"/>
        <w:rPr>
          <w:rFonts w:ascii="Arial" w:hAnsi="Arial" w:cs="Arial"/>
          <w:sz w:val="24"/>
          <w:szCs w:val="24"/>
        </w:rPr>
      </w:pPr>
    </w:p>
    <w:p w:rsidR="00241DEC" w:rsidRPr="00D05A87" w:rsidRDefault="00241DEC" w:rsidP="00D05A87">
      <w:pPr>
        <w:spacing w:after="0" w:line="240" w:lineRule="auto"/>
        <w:rPr>
          <w:rFonts w:ascii="Arial" w:hAnsi="Arial" w:cs="Arial"/>
          <w:sz w:val="24"/>
          <w:szCs w:val="24"/>
        </w:rPr>
      </w:pPr>
    </w:p>
    <w:p w:rsidR="007D1BD2" w:rsidRPr="00D05A87" w:rsidRDefault="007D1BD2" w:rsidP="00D05A87">
      <w:pPr>
        <w:spacing w:after="0" w:line="240" w:lineRule="auto"/>
        <w:rPr>
          <w:rFonts w:ascii="Arial" w:hAnsi="Arial" w:cs="Arial"/>
          <w:sz w:val="24"/>
          <w:szCs w:val="24"/>
        </w:rPr>
      </w:pPr>
    </w:p>
    <w:sectPr w:rsidR="007D1BD2" w:rsidRPr="00D05A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48C" w:rsidRDefault="0070348C" w:rsidP="0070348C">
      <w:pPr>
        <w:spacing w:after="0" w:line="240" w:lineRule="auto"/>
      </w:pPr>
      <w:r>
        <w:separator/>
      </w:r>
    </w:p>
  </w:endnote>
  <w:endnote w:type="continuationSeparator" w:id="0">
    <w:p w:rsidR="0070348C" w:rsidRDefault="0070348C" w:rsidP="0070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48C" w:rsidRDefault="0070348C" w:rsidP="0070348C">
      <w:pPr>
        <w:spacing w:after="0" w:line="240" w:lineRule="auto"/>
      </w:pPr>
      <w:r>
        <w:separator/>
      </w:r>
    </w:p>
  </w:footnote>
  <w:footnote w:type="continuationSeparator" w:id="0">
    <w:p w:rsidR="0070348C" w:rsidRDefault="0070348C" w:rsidP="00703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6755"/>
    <w:multiLevelType w:val="hybridMultilevel"/>
    <w:tmpl w:val="C9C889DC"/>
    <w:lvl w:ilvl="0" w:tplc="EB14FE8C">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F06BB6"/>
    <w:multiLevelType w:val="hybridMultilevel"/>
    <w:tmpl w:val="FB14B4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349C0018"/>
    <w:multiLevelType w:val="hybridMultilevel"/>
    <w:tmpl w:val="8C843492"/>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483B4CBC"/>
    <w:multiLevelType w:val="hybridMultilevel"/>
    <w:tmpl w:val="20E084A8"/>
    <w:lvl w:ilvl="0" w:tplc="D7DA4A96">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C23099"/>
    <w:multiLevelType w:val="hybridMultilevel"/>
    <w:tmpl w:val="4EB842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EE428C6"/>
    <w:multiLevelType w:val="hybridMultilevel"/>
    <w:tmpl w:val="CDEC72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DBB73D0"/>
    <w:multiLevelType w:val="hybridMultilevel"/>
    <w:tmpl w:val="69AEA4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7C3267DC"/>
    <w:multiLevelType w:val="hybridMultilevel"/>
    <w:tmpl w:val="FEE665E4"/>
    <w:lvl w:ilvl="0" w:tplc="0826D8E2">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6"/>
  </w:num>
  <w:num w:numId="5">
    <w:abstractNumId w:val="2"/>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85F"/>
    <w:rsid w:val="00046BD4"/>
    <w:rsid w:val="00055419"/>
    <w:rsid w:val="00094BF2"/>
    <w:rsid w:val="00123B04"/>
    <w:rsid w:val="00175C93"/>
    <w:rsid w:val="001D6AD9"/>
    <w:rsid w:val="00211CB8"/>
    <w:rsid w:val="00212354"/>
    <w:rsid w:val="00217DA2"/>
    <w:rsid w:val="00220465"/>
    <w:rsid w:val="00222618"/>
    <w:rsid w:val="00226EBA"/>
    <w:rsid w:val="00234B2F"/>
    <w:rsid w:val="00241DEC"/>
    <w:rsid w:val="002762CB"/>
    <w:rsid w:val="002931E4"/>
    <w:rsid w:val="002B3A13"/>
    <w:rsid w:val="00310483"/>
    <w:rsid w:val="00320B8F"/>
    <w:rsid w:val="003768C4"/>
    <w:rsid w:val="00383241"/>
    <w:rsid w:val="003F63C2"/>
    <w:rsid w:val="00424BC0"/>
    <w:rsid w:val="004F1F34"/>
    <w:rsid w:val="00556370"/>
    <w:rsid w:val="005641CC"/>
    <w:rsid w:val="005C658E"/>
    <w:rsid w:val="00617212"/>
    <w:rsid w:val="00655285"/>
    <w:rsid w:val="006A6559"/>
    <w:rsid w:val="006B074D"/>
    <w:rsid w:val="006B4B89"/>
    <w:rsid w:val="00702B93"/>
    <w:rsid w:val="0070348C"/>
    <w:rsid w:val="007741D9"/>
    <w:rsid w:val="007974CC"/>
    <w:rsid w:val="007D1BD2"/>
    <w:rsid w:val="0081036F"/>
    <w:rsid w:val="00817F0E"/>
    <w:rsid w:val="00892F7F"/>
    <w:rsid w:val="008A4ECE"/>
    <w:rsid w:val="008F7777"/>
    <w:rsid w:val="00A2302C"/>
    <w:rsid w:val="00A44748"/>
    <w:rsid w:val="00A61CC9"/>
    <w:rsid w:val="00A6425C"/>
    <w:rsid w:val="00AB3C9C"/>
    <w:rsid w:val="00AC3409"/>
    <w:rsid w:val="00AF0B1C"/>
    <w:rsid w:val="00B93A7B"/>
    <w:rsid w:val="00BE69A5"/>
    <w:rsid w:val="00C55576"/>
    <w:rsid w:val="00C72D13"/>
    <w:rsid w:val="00CD6EB0"/>
    <w:rsid w:val="00D033B5"/>
    <w:rsid w:val="00D05A87"/>
    <w:rsid w:val="00D05EF3"/>
    <w:rsid w:val="00D8085F"/>
    <w:rsid w:val="00DF6F46"/>
    <w:rsid w:val="00E37795"/>
    <w:rsid w:val="00E56151"/>
    <w:rsid w:val="00EE194A"/>
    <w:rsid w:val="00F0222C"/>
    <w:rsid w:val="00F03AE0"/>
    <w:rsid w:val="00F27515"/>
    <w:rsid w:val="00FB6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84D51BE-7A42-42AC-B7F0-4DA6A9A3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A13"/>
    <w:rPr>
      <w:rFonts w:ascii="Tahoma" w:hAnsi="Tahoma" w:cs="Tahoma"/>
      <w:sz w:val="16"/>
      <w:szCs w:val="16"/>
    </w:rPr>
  </w:style>
  <w:style w:type="character" w:styleId="CommentReference">
    <w:name w:val="annotation reference"/>
    <w:basedOn w:val="DefaultParagraphFont"/>
    <w:uiPriority w:val="99"/>
    <w:semiHidden/>
    <w:unhideWhenUsed/>
    <w:rsid w:val="00F27515"/>
    <w:rPr>
      <w:sz w:val="16"/>
      <w:szCs w:val="16"/>
    </w:rPr>
  </w:style>
  <w:style w:type="paragraph" w:styleId="CommentText">
    <w:name w:val="annotation text"/>
    <w:basedOn w:val="Normal"/>
    <w:link w:val="CommentTextChar"/>
    <w:uiPriority w:val="99"/>
    <w:semiHidden/>
    <w:unhideWhenUsed/>
    <w:rsid w:val="00F27515"/>
    <w:pPr>
      <w:spacing w:line="240" w:lineRule="auto"/>
    </w:pPr>
    <w:rPr>
      <w:sz w:val="20"/>
      <w:szCs w:val="20"/>
    </w:rPr>
  </w:style>
  <w:style w:type="character" w:customStyle="1" w:styleId="CommentTextChar">
    <w:name w:val="Comment Text Char"/>
    <w:basedOn w:val="DefaultParagraphFont"/>
    <w:link w:val="CommentText"/>
    <w:uiPriority w:val="99"/>
    <w:semiHidden/>
    <w:rsid w:val="00F27515"/>
    <w:rPr>
      <w:sz w:val="20"/>
      <w:szCs w:val="20"/>
    </w:rPr>
  </w:style>
  <w:style w:type="paragraph" w:styleId="CommentSubject">
    <w:name w:val="annotation subject"/>
    <w:basedOn w:val="CommentText"/>
    <w:next w:val="CommentText"/>
    <w:link w:val="CommentSubjectChar"/>
    <w:uiPriority w:val="99"/>
    <w:semiHidden/>
    <w:unhideWhenUsed/>
    <w:rsid w:val="00F27515"/>
    <w:rPr>
      <w:b/>
      <w:bCs/>
    </w:rPr>
  </w:style>
  <w:style w:type="character" w:customStyle="1" w:styleId="CommentSubjectChar">
    <w:name w:val="Comment Subject Char"/>
    <w:basedOn w:val="CommentTextChar"/>
    <w:link w:val="CommentSubject"/>
    <w:uiPriority w:val="99"/>
    <w:semiHidden/>
    <w:rsid w:val="00F27515"/>
    <w:rPr>
      <w:b/>
      <w:bCs/>
      <w:sz w:val="20"/>
      <w:szCs w:val="20"/>
    </w:rPr>
  </w:style>
  <w:style w:type="paragraph" w:styleId="ListParagraph">
    <w:name w:val="List Paragraph"/>
    <w:basedOn w:val="Normal"/>
    <w:uiPriority w:val="34"/>
    <w:qFormat/>
    <w:rsid w:val="00383241"/>
    <w:pPr>
      <w:ind w:left="720"/>
      <w:contextualSpacing/>
    </w:pPr>
  </w:style>
  <w:style w:type="paragraph" w:styleId="Revision">
    <w:name w:val="Revision"/>
    <w:hidden/>
    <w:uiPriority w:val="99"/>
    <w:semiHidden/>
    <w:rsid w:val="00383241"/>
    <w:pPr>
      <w:spacing w:after="0" w:line="240" w:lineRule="auto"/>
    </w:pPr>
  </w:style>
  <w:style w:type="character" w:styleId="Hyperlink">
    <w:name w:val="Hyperlink"/>
    <w:basedOn w:val="DefaultParagraphFont"/>
    <w:uiPriority w:val="99"/>
    <w:unhideWhenUsed/>
    <w:rsid w:val="00817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078">
      <w:bodyDiv w:val="1"/>
      <w:marLeft w:val="0"/>
      <w:marRight w:val="0"/>
      <w:marTop w:val="0"/>
      <w:marBottom w:val="0"/>
      <w:divBdr>
        <w:top w:val="none" w:sz="0" w:space="0" w:color="auto"/>
        <w:left w:val="none" w:sz="0" w:space="0" w:color="auto"/>
        <w:bottom w:val="none" w:sz="0" w:space="0" w:color="auto"/>
        <w:right w:val="none" w:sz="0" w:space="0" w:color="auto"/>
      </w:divBdr>
    </w:div>
    <w:div w:id="1295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Registrar@ontario.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D5E1-A882-4D1C-A996-64B63A81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McAnsh, Scott (MAG)</dc:creator>
  <cp:lastModifiedBy>Toye, Ben (MAG)</cp:lastModifiedBy>
  <cp:revision>2</cp:revision>
  <cp:lastPrinted>2019-05-24T18:47:00Z</cp:lastPrinted>
  <dcterms:created xsi:type="dcterms:W3CDTF">2019-07-08T12:34:00Z</dcterms:created>
  <dcterms:modified xsi:type="dcterms:W3CDTF">2019-07-08T12:34:00Z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Alex.Kappel@ontario.ca</vt:lpwstr>
  </property>
  <property fmtid="{D5CDD505-2E9C-101B-9397-08002B2CF9AE}" pid="5" name="MSIP_Label_034a106e-6316-442c-ad35-738afd673d2b_SetDate">
    <vt:lpwstr>2019-07-03T19:30:10.0927013Z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